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77C" w:rsidRDefault="00241002" w:rsidP="00BF577C">
      <w:pPr>
        <w:tabs>
          <w:tab w:val="left" w:pos="890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к р</w:t>
      </w:r>
      <w:r w:rsidR="000C390B" w:rsidRPr="00BF577C">
        <w:rPr>
          <w:rFonts w:ascii="Times New Roman" w:hAnsi="Times New Roman" w:cs="Times New Roman"/>
          <w:b/>
          <w:sz w:val="28"/>
          <w:szCs w:val="28"/>
        </w:rPr>
        <w:t>езультат</w:t>
      </w:r>
      <w:r>
        <w:rPr>
          <w:rFonts w:ascii="Times New Roman" w:hAnsi="Times New Roman" w:cs="Times New Roman"/>
          <w:b/>
          <w:sz w:val="28"/>
          <w:szCs w:val="28"/>
        </w:rPr>
        <w:t>ам</w:t>
      </w:r>
      <w:r w:rsidR="000C390B" w:rsidRPr="00BF577C">
        <w:rPr>
          <w:rFonts w:ascii="Times New Roman" w:hAnsi="Times New Roman" w:cs="Times New Roman"/>
          <w:b/>
          <w:sz w:val="28"/>
          <w:szCs w:val="28"/>
        </w:rPr>
        <w:t xml:space="preserve"> мониторинга качества финансового менеджмента, осуществляемого главными распорядителями средств бюджета </w:t>
      </w:r>
    </w:p>
    <w:p w:rsidR="00424848" w:rsidRPr="00BF577C" w:rsidRDefault="000C390B" w:rsidP="00EA764A">
      <w:pPr>
        <w:tabs>
          <w:tab w:val="left" w:pos="890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77C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Югры,</w:t>
      </w:r>
      <w:r w:rsidRPr="00BF577C">
        <w:rPr>
          <w:rFonts w:ascii="Times New Roman" w:hAnsi="Times New Roman" w:cs="Times New Roman"/>
          <w:sz w:val="28"/>
          <w:szCs w:val="28"/>
        </w:rPr>
        <w:br/>
      </w:r>
      <w:r w:rsidRPr="00BF577C">
        <w:rPr>
          <w:rFonts w:ascii="Times New Roman" w:hAnsi="Times New Roman" w:cs="Times New Roman"/>
          <w:b/>
          <w:sz w:val="28"/>
          <w:szCs w:val="28"/>
        </w:rPr>
        <w:t>главными администраторами доходов бюджета</w:t>
      </w:r>
      <w:r w:rsidRPr="00BF577C">
        <w:rPr>
          <w:rFonts w:ascii="Times New Roman" w:hAnsi="Times New Roman" w:cs="Times New Roman"/>
          <w:b/>
          <w:sz w:val="28"/>
          <w:szCs w:val="28"/>
        </w:rPr>
        <w:br/>
        <w:t>Ханты-Мансийского автономного округа – Югры,</w:t>
      </w:r>
      <w:r w:rsidRPr="00BF577C">
        <w:rPr>
          <w:rFonts w:ascii="Times New Roman" w:hAnsi="Times New Roman" w:cs="Times New Roman"/>
          <w:sz w:val="28"/>
          <w:szCs w:val="28"/>
        </w:rPr>
        <w:t xml:space="preserve"> </w:t>
      </w:r>
      <w:r w:rsidRPr="00BF577C">
        <w:rPr>
          <w:rFonts w:ascii="Times New Roman" w:hAnsi="Times New Roman" w:cs="Times New Roman"/>
          <w:b/>
          <w:sz w:val="28"/>
          <w:szCs w:val="28"/>
        </w:rPr>
        <w:br/>
      </w:r>
      <w:r w:rsidR="00424848" w:rsidRPr="00BF577C">
        <w:rPr>
          <w:rFonts w:ascii="Times New Roman" w:hAnsi="Times New Roman" w:cs="Times New Roman"/>
          <w:b/>
          <w:sz w:val="28"/>
          <w:szCs w:val="28"/>
        </w:rPr>
        <w:t>за</w:t>
      </w:r>
      <w:r w:rsidR="002F52D5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Pr="00BF577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764A" w:rsidRDefault="00EA764A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390B" w:rsidRPr="00903326" w:rsidRDefault="000C390B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326">
        <w:rPr>
          <w:rFonts w:ascii="Times New Roman" w:hAnsi="Times New Roman" w:cs="Times New Roman"/>
          <w:sz w:val="24"/>
          <w:szCs w:val="24"/>
        </w:rPr>
        <w:t>Мониторинг качества финансового менеджмента, осуществляемого главными распорядителями средств бюджета автономного округа, главными администраторами доходов бюджета автономного округа</w:t>
      </w:r>
      <w:r w:rsidR="00244910" w:rsidRPr="00903326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8677E3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244910" w:rsidRPr="00903326">
        <w:rPr>
          <w:rFonts w:ascii="Times New Roman" w:hAnsi="Times New Roman" w:cs="Times New Roman"/>
          <w:sz w:val="24"/>
          <w:szCs w:val="24"/>
        </w:rPr>
        <w:t>– главные администраторы бюджетных средств)</w:t>
      </w:r>
      <w:r w:rsidRPr="00903326">
        <w:rPr>
          <w:rFonts w:ascii="Times New Roman" w:hAnsi="Times New Roman" w:cs="Times New Roman"/>
          <w:sz w:val="24"/>
          <w:szCs w:val="24"/>
        </w:rPr>
        <w:t xml:space="preserve">, </w:t>
      </w:r>
      <w:r w:rsidR="00424848" w:rsidRPr="00903326">
        <w:rPr>
          <w:rFonts w:ascii="Times New Roman" w:hAnsi="Times New Roman" w:cs="Times New Roman"/>
          <w:sz w:val="24"/>
          <w:szCs w:val="24"/>
        </w:rPr>
        <w:t>за</w:t>
      </w:r>
      <w:r w:rsidR="002F52D5">
        <w:rPr>
          <w:rFonts w:ascii="Times New Roman" w:hAnsi="Times New Roman" w:cs="Times New Roman"/>
          <w:sz w:val="24"/>
          <w:szCs w:val="24"/>
        </w:rPr>
        <w:t xml:space="preserve"> 2020</w:t>
      </w:r>
      <w:r w:rsidRPr="00903326">
        <w:rPr>
          <w:rFonts w:ascii="Times New Roman" w:hAnsi="Times New Roman" w:cs="Times New Roman"/>
          <w:sz w:val="24"/>
          <w:szCs w:val="24"/>
        </w:rPr>
        <w:t xml:space="preserve"> год проводился на основе показателей, указанных в приложении 1 к Положению об организации проведения мониторинга качества финансового менеджмента, осуществляемого главными распорядителями средств бюджета автономного округа, главными администраторами доходов бюджета автономного округа (далее – Положение), утверждённому приказом Департамента финансов автономного</w:t>
      </w:r>
      <w:r w:rsidR="00CA4CEB">
        <w:rPr>
          <w:rFonts w:ascii="Times New Roman" w:hAnsi="Times New Roman" w:cs="Times New Roman"/>
          <w:sz w:val="24"/>
          <w:szCs w:val="24"/>
        </w:rPr>
        <w:t xml:space="preserve"> округа от 31 марта 2011 года № </w:t>
      </w:r>
      <w:r w:rsidRPr="00903326">
        <w:rPr>
          <w:rFonts w:ascii="Times New Roman" w:hAnsi="Times New Roman" w:cs="Times New Roman"/>
          <w:sz w:val="24"/>
          <w:szCs w:val="24"/>
        </w:rPr>
        <w:t>66-о «Об организации проведения мониторинга качества финансового менеджмента, осуществляемого главными распорядителями средств бюджета Ханты-Мансийского автономного округа – Югры, главными администраторами доходов бюджета Ханты-Мансийского автономного о</w:t>
      </w:r>
      <w:r w:rsidR="00CA4CEB">
        <w:rPr>
          <w:rFonts w:ascii="Times New Roman" w:hAnsi="Times New Roman" w:cs="Times New Roman"/>
          <w:sz w:val="24"/>
          <w:szCs w:val="24"/>
        </w:rPr>
        <w:t>круга – Югры» (далее – Приказ № </w:t>
      </w:r>
      <w:r w:rsidRPr="00903326">
        <w:rPr>
          <w:rFonts w:ascii="Times New Roman" w:hAnsi="Times New Roman" w:cs="Times New Roman"/>
          <w:sz w:val="24"/>
          <w:szCs w:val="24"/>
        </w:rPr>
        <w:t>66-о).</w:t>
      </w:r>
    </w:p>
    <w:p w:rsidR="00424848" w:rsidRPr="00424848" w:rsidRDefault="000C390B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13">
        <w:rPr>
          <w:rFonts w:ascii="Times New Roman" w:hAnsi="Times New Roman" w:cs="Times New Roman"/>
          <w:sz w:val="24"/>
          <w:szCs w:val="24"/>
        </w:rPr>
        <w:t>Мониторинг качества финансового менеджмента</w:t>
      </w:r>
      <w:r w:rsidR="001E4D13" w:rsidRPr="001E4D13">
        <w:rPr>
          <w:rFonts w:ascii="Times New Roman" w:hAnsi="Times New Roman" w:cs="Times New Roman"/>
          <w:sz w:val="24"/>
          <w:szCs w:val="24"/>
        </w:rPr>
        <w:t>, осуществляемого</w:t>
      </w:r>
      <w:r w:rsidRPr="001E4D13">
        <w:rPr>
          <w:rFonts w:ascii="Times New Roman" w:hAnsi="Times New Roman" w:cs="Times New Roman"/>
          <w:sz w:val="24"/>
          <w:szCs w:val="24"/>
        </w:rPr>
        <w:t xml:space="preserve"> </w:t>
      </w:r>
      <w:r w:rsidR="001E4D13" w:rsidRPr="001E4D13">
        <w:rPr>
          <w:rFonts w:ascii="Times New Roman" w:hAnsi="Times New Roman" w:cs="Times New Roman"/>
          <w:sz w:val="24"/>
          <w:szCs w:val="24"/>
        </w:rPr>
        <w:t>главными администраторами бюджетных средств</w:t>
      </w:r>
      <w:r w:rsidR="00B877D2">
        <w:rPr>
          <w:rFonts w:ascii="Times New Roman" w:hAnsi="Times New Roman" w:cs="Times New Roman"/>
          <w:sz w:val="24"/>
          <w:szCs w:val="24"/>
        </w:rPr>
        <w:t xml:space="preserve"> </w:t>
      </w:r>
      <w:r w:rsidR="00B877D2" w:rsidRPr="001E4D13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8677E3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E11ECD">
        <w:rPr>
          <w:rFonts w:ascii="Times New Roman" w:hAnsi="Times New Roman" w:cs="Times New Roman"/>
          <w:sz w:val="24"/>
          <w:szCs w:val="24"/>
        </w:rPr>
        <w:t>–</w:t>
      </w:r>
      <w:r w:rsidR="00B877D2" w:rsidRPr="001E4D13">
        <w:rPr>
          <w:rFonts w:ascii="Times New Roman" w:hAnsi="Times New Roman" w:cs="Times New Roman"/>
          <w:sz w:val="24"/>
          <w:szCs w:val="24"/>
        </w:rPr>
        <w:t xml:space="preserve"> </w:t>
      </w:r>
      <w:r w:rsidR="008677E3">
        <w:rPr>
          <w:rFonts w:ascii="Times New Roman" w:hAnsi="Times New Roman" w:cs="Times New Roman"/>
          <w:sz w:val="24"/>
          <w:szCs w:val="24"/>
        </w:rPr>
        <w:t>Мониторинг</w:t>
      </w:r>
      <w:r w:rsidR="00B877D2" w:rsidRPr="001E4D13">
        <w:rPr>
          <w:rFonts w:ascii="Times New Roman" w:hAnsi="Times New Roman" w:cs="Times New Roman"/>
          <w:sz w:val="24"/>
          <w:szCs w:val="24"/>
        </w:rPr>
        <w:t>)</w:t>
      </w:r>
      <w:r w:rsidR="00B23030">
        <w:rPr>
          <w:rFonts w:ascii="Times New Roman" w:hAnsi="Times New Roman" w:cs="Times New Roman"/>
          <w:sz w:val="24"/>
          <w:szCs w:val="24"/>
        </w:rPr>
        <w:t>,</w:t>
      </w:r>
      <w:r w:rsidR="001E4D13" w:rsidRPr="001E4D13">
        <w:rPr>
          <w:rFonts w:ascii="Times New Roman" w:hAnsi="Times New Roman" w:cs="Times New Roman"/>
          <w:sz w:val="24"/>
          <w:szCs w:val="24"/>
        </w:rPr>
        <w:t xml:space="preserve"> </w:t>
      </w:r>
      <w:r w:rsidR="00C64EDF" w:rsidRPr="0095599E">
        <w:rPr>
          <w:rFonts w:ascii="Times New Roman" w:hAnsi="Times New Roman" w:cs="Times New Roman"/>
          <w:sz w:val="24"/>
          <w:szCs w:val="24"/>
        </w:rPr>
        <w:t xml:space="preserve">за </w:t>
      </w:r>
      <w:r w:rsidR="002F52D5">
        <w:rPr>
          <w:rFonts w:ascii="Times New Roman" w:hAnsi="Times New Roman" w:cs="Times New Roman"/>
          <w:sz w:val="24"/>
          <w:szCs w:val="24"/>
        </w:rPr>
        <w:t>2020</w:t>
      </w:r>
      <w:r w:rsidR="00424848" w:rsidRPr="001E4D13">
        <w:rPr>
          <w:rFonts w:ascii="Times New Roman" w:hAnsi="Times New Roman" w:cs="Times New Roman"/>
          <w:sz w:val="24"/>
          <w:szCs w:val="24"/>
        </w:rPr>
        <w:t xml:space="preserve"> год</w:t>
      </w:r>
      <w:r w:rsidRPr="001E4D13">
        <w:rPr>
          <w:rFonts w:ascii="Times New Roman" w:hAnsi="Times New Roman" w:cs="Times New Roman"/>
          <w:sz w:val="24"/>
          <w:szCs w:val="24"/>
        </w:rPr>
        <w:t xml:space="preserve"> проводился </w:t>
      </w:r>
      <w:r w:rsidR="008677E3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8677E3" w:rsidRPr="009361F8">
        <w:rPr>
          <w:rFonts w:ascii="Times New Roman" w:eastAsia="Times New Roman" w:hAnsi="Times New Roman" w:cs="Times New Roman"/>
          <w:sz w:val="24"/>
          <w:szCs w:val="24"/>
        </w:rPr>
        <w:t xml:space="preserve">данных и материалов, представленных </w:t>
      </w:r>
      <w:r w:rsidR="00445690" w:rsidRPr="00445690">
        <w:rPr>
          <w:rFonts w:ascii="Times New Roman" w:eastAsia="Times New Roman" w:hAnsi="Times New Roman" w:cs="Times New Roman"/>
          <w:sz w:val="24"/>
          <w:szCs w:val="24"/>
        </w:rPr>
        <w:t>главны</w:t>
      </w:r>
      <w:r w:rsidR="00445690">
        <w:rPr>
          <w:rFonts w:ascii="Times New Roman" w:eastAsia="Times New Roman" w:hAnsi="Times New Roman" w:cs="Times New Roman"/>
          <w:sz w:val="24"/>
          <w:szCs w:val="24"/>
        </w:rPr>
        <w:t>ми</w:t>
      </w:r>
      <w:r w:rsidR="00445690" w:rsidRPr="00445690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администратор</w:t>
      </w:r>
      <w:r w:rsidR="00445690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445690" w:rsidRPr="00445690">
        <w:rPr>
          <w:rFonts w:ascii="Times New Roman" w:eastAsia="Times New Roman" w:hAnsi="Times New Roman" w:cs="Times New Roman"/>
          <w:sz w:val="24"/>
          <w:szCs w:val="24"/>
        </w:rPr>
        <w:t xml:space="preserve"> бюджетных средств </w:t>
      </w:r>
      <w:r w:rsidR="008677E3" w:rsidRPr="009361F8">
        <w:rPr>
          <w:rFonts w:ascii="Times New Roman" w:eastAsia="Times New Roman" w:hAnsi="Times New Roman" w:cs="Times New Roman"/>
          <w:sz w:val="24"/>
          <w:szCs w:val="24"/>
        </w:rPr>
        <w:t>в Департамент финансов автономного округа с использованием методики балльной оценки к</w:t>
      </w:r>
      <w:r w:rsidR="008677E3">
        <w:rPr>
          <w:rFonts w:ascii="Times New Roman" w:eastAsia="Times New Roman" w:hAnsi="Times New Roman" w:cs="Times New Roman"/>
          <w:sz w:val="24"/>
          <w:szCs w:val="24"/>
        </w:rPr>
        <w:t>ачества финансового менеджмента</w:t>
      </w:r>
      <w:r w:rsidR="00B23030" w:rsidRPr="00B23030">
        <w:rPr>
          <w:rFonts w:ascii="Times New Roman" w:eastAsia="Times New Roman" w:hAnsi="Times New Roman" w:cs="Times New Roman"/>
          <w:sz w:val="24"/>
          <w:szCs w:val="24"/>
        </w:rPr>
        <w:t>, осуществляемого главными администраторами бюджетных средств (далее также – финансов</w:t>
      </w:r>
      <w:r w:rsidR="00B23030">
        <w:rPr>
          <w:rFonts w:ascii="Times New Roman" w:eastAsia="Times New Roman" w:hAnsi="Times New Roman" w:cs="Times New Roman"/>
          <w:sz w:val="24"/>
          <w:szCs w:val="24"/>
        </w:rPr>
        <w:t>ый</w:t>
      </w:r>
      <w:r w:rsidR="00B23030" w:rsidRPr="00B23030">
        <w:rPr>
          <w:rFonts w:ascii="Times New Roman" w:eastAsia="Times New Roman" w:hAnsi="Times New Roman" w:cs="Times New Roman"/>
          <w:sz w:val="24"/>
          <w:szCs w:val="24"/>
        </w:rPr>
        <w:t xml:space="preserve"> менеджмент)</w:t>
      </w:r>
      <w:r w:rsidR="00B230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77E3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424848" w:rsidRPr="001E4D13">
        <w:rPr>
          <w:rFonts w:ascii="Times New Roman" w:hAnsi="Times New Roman" w:cs="Times New Roman"/>
          <w:sz w:val="24"/>
          <w:szCs w:val="24"/>
        </w:rPr>
        <w:t>следующим группам показателей:</w:t>
      </w:r>
    </w:p>
    <w:p w:rsidR="000C390B" w:rsidRPr="00424848" w:rsidRDefault="00424848" w:rsidP="008579D8">
      <w:pPr>
        <w:pStyle w:val="a3"/>
        <w:numPr>
          <w:ilvl w:val="0"/>
          <w:numId w:val="2"/>
        </w:numPr>
        <w:spacing w:line="360" w:lineRule="auto"/>
      </w:pPr>
      <w:r w:rsidRPr="00424848">
        <w:t>Среднесрочное финансовое планирование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>
        <w:t>Испол</w:t>
      </w:r>
      <w:r w:rsidRPr="00424848">
        <w:t>нение бюджета в части расходов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>
        <w:t>Испол</w:t>
      </w:r>
      <w:r w:rsidRPr="00424848">
        <w:t xml:space="preserve">нение </w:t>
      </w:r>
      <w:r w:rsidR="00C14F91">
        <w:t xml:space="preserve">бюджета </w:t>
      </w:r>
      <w:r w:rsidR="00FE499E">
        <w:t>по</w:t>
      </w:r>
      <w:r w:rsidR="00C14F91">
        <w:t xml:space="preserve"> доход</w:t>
      </w:r>
      <w:r w:rsidR="00FE499E">
        <w:t>ам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 w:rsidRPr="00424848">
        <w:t>Учёт и отчётность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 w:rsidRPr="00424848">
        <w:t>Контроль и аудит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>
        <w:t>Испол</w:t>
      </w:r>
      <w:r w:rsidRPr="00424848">
        <w:t>нение судебных актов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>
        <w:t>Управ</w:t>
      </w:r>
      <w:r w:rsidRPr="00424848">
        <w:t>ление активами</w:t>
      </w:r>
      <w:r w:rsidR="00B05907">
        <w:t>.</w:t>
      </w:r>
    </w:p>
    <w:p w:rsidR="00AC0C21" w:rsidRDefault="00AC0C21" w:rsidP="00AC0C21">
      <w:pPr>
        <w:pStyle w:val="a3"/>
        <w:spacing w:line="360" w:lineRule="auto"/>
        <w:ind w:left="927"/>
      </w:pPr>
    </w:p>
    <w:p w:rsidR="0077244D" w:rsidRPr="0077244D" w:rsidRDefault="0077244D" w:rsidP="007724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7244D" w:rsidRDefault="0077244D" w:rsidP="0077244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244D">
        <w:rPr>
          <w:rFonts w:ascii="Times New Roman" w:hAnsi="Times New Roman" w:cs="Times New Roman"/>
          <w:b/>
          <w:sz w:val="32"/>
          <w:szCs w:val="32"/>
        </w:rPr>
        <w:lastRenderedPageBreak/>
        <w:t>Удельный вес групп показателей в итоговой</w:t>
      </w:r>
    </w:p>
    <w:p w:rsidR="0077244D" w:rsidRDefault="0077244D" w:rsidP="0077244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7244D">
        <w:rPr>
          <w:rFonts w:ascii="Times New Roman" w:hAnsi="Times New Roman" w:cs="Times New Roman"/>
          <w:b/>
          <w:sz w:val="32"/>
          <w:szCs w:val="32"/>
        </w:rPr>
        <w:t>оценке качества финансового менеджмента</w:t>
      </w:r>
    </w:p>
    <w:p w:rsidR="0077244D" w:rsidRPr="0077244D" w:rsidRDefault="002F52D5" w:rsidP="0077244D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 2020</w:t>
      </w:r>
      <w:r w:rsidR="0077244D" w:rsidRPr="0077244D">
        <w:rPr>
          <w:rFonts w:ascii="Times New Roman" w:hAnsi="Times New Roman" w:cs="Times New Roman"/>
          <w:b/>
          <w:sz w:val="32"/>
          <w:szCs w:val="32"/>
        </w:rPr>
        <w:t xml:space="preserve"> год</w:t>
      </w:r>
    </w:p>
    <w:p w:rsidR="000C390B" w:rsidRDefault="00424848" w:rsidP="00E926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A74194" wp14:editId="298B7CAB">
            <wp:extent cx="6409427" cy="3234906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05907" w:rsidRPr="00B05907" w:rsidRDefault="00B05907" w:rsidP="004456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907">
        <w:rPr>
          <w:rFonts w:ascii="Times New Roman" w:hAnsi="Times New Roman" w:cs="Times New Roman"/>
          <w:b/>
          <w:sz w:val="28"/>
          <w:szCs w:val="28"/>
        </w:rPr>
        <w:t xml:space="preserve">Итоговая оценка </w:t>
      </w:r>
      <w:r w:rsidR="00F606F4">
        <w:rPr>
          <w:rFonts w:ascii="Times New Roman" w:hAnsi="Times New Roman" w:cs="Times New Roman"/>
          <w:b/>
          <w:sz w:val="28"/>
          <w:szCs w:val="28"/>
        </w:rPr>
        <w:t>составляет</w:t>
      </w:r>
      <w:r w:rsidRPr="00B05907">
        <w:rPr>
          <w:rFonts w:ascii="Times New Roman" w:hAnsi="Times New Roman" w:cs="Times New Roman"/>
          <w:b/>
          <w:sz w:val="28"/>
          <w:szCs w:val="28"/>
        </w:rPr>
        <w:t xml:space="preserve"> от 0 до 100 баллов</w:t>
      </w:r>
    </w:p>
    <w:p w:rsidR="009361F8" w:rsidRPr="009361F8" w:rsidRDefault="009361F8" w:rsidP="009361F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1F8">
        <w:rPr>
          <w:rFonts w:ascii="Times New Roman" w:eastAsia="Times New Roman" w:hAnsi="Times New Roman" w:cs="Times New Roman"/>
          <w:sz w:val="24"/>
          <w:szCs w:val="24"/>
        </w:rPr>
        <w:t>Основными группами показателей в итоговой оценке качества финансового менеджмента явля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тся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722B" w:rsidRPr="009361F8">
        <w:rPr>
          <w:rFonts w:ascii="Times New Roman" w:eastAsia="Times New Roman" w:hAnsi="Times New Roman" w:cs="Times New Roman"/>
          <w:sz w:val="24"/>
          <w:szCs w:val="24"/>
        </w:rPr>
        <w:t>«Исполнение бюджета в части расходов»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E722B" w:rsidRPr="0093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 xml:space="preserve">имеющая удельный вес 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7 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>%</w:t>
      </w:r>
      <w:r w:rsidR="00087978">
        <w:rPr>
          <w:rFonts w:ascii="Times New Roman" w:eastAsia="Times New Roman" w:hAnsi="Times New Roman" w:cs="Times New Roman"/>
          <w:sz w:val="24"/>
          <w:szCs w:val="24"/>
        </w:rPr>
        <w:t xml:space="preserve"> в итоговой оценке качества финансового менеджмента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>«Контроль и аудит»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 xml:space="preserve"> «Среднесрочное финансовое планирование»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«Учет и отчетность»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87978">
        <w:rPr>
          <w:rFonts w:ascii="Times New Roman" w:eastAsia="Times New Roman" w:hAnsi="Times New Roman" w:cs="Times New Roman"/>
          <w:sz w:val="24"/>
          <w:szCs w:val="24"/>
        </w:rPr>
        <w:t>имеющие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 соответственно </w:t>
      </w:r>
      <w:r w:rsidR="00087978">
        <w:rPr>
          <w:rFonts w:ascii="Times New Roman" w:eastAsia="Times New Roman" w:hAnsi="Times New Roman" w:cs="Times New Roman"/>
          <w:sz w:val="24"/>
          <w:szCs w:val="24"/>
        </w:rPr>
        <w:t xml:space="preserve">удельный вес 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18</w:t>
      </w:r>
      <w:r w:rsidR="00E11EC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%, 15</w:t>
      </w:r>
      <w:r w:rsidR="00E11EC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%</w:t>
      </w:r>
      <w:r w:rsidR="00775B6A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15</w:t>
      </w:r>
      <w:r w:rsidR="00E11EC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9361F8" w:rsidRPr="009361F8" w:rsidRDefault="009361F8" w:rsidP="009361F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Качество финансового менеджмента в существенной степени зависит от организации </w:t>
      </w:r>
      <w:r w:rsidR="00445690" w:rsidRPr="00445690">
        <w:rPr>
          <w:rFonts w:ascii="Times New Roman" w:eastAsia="Times New Roman" w:hAnsi="Times New Roman" w:cs="Times New Roman"/>
          <w:sz w:val="24"/>
          <w:szCs w:val="24"/>
        </w:rPr>
        <w:t>главными распорядителями средств бюджета автономного округа (далее также – ГРБС)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 процедур бюджетного планирования, исполнения бюджета, ведения бюджетного учета, составления и пред</w:t>
      </w:r>
      <w:r w:rsidR="00F64324">
        <w:rPr>
          <w:rFonts w:ascii="Times New Roman" w:eastAsia="Times New Roman" w:hAnsi="Times New Roman" w:cs="Times New Roman"/>
          <w:sz w:val="24"/>
          <w:szCs w:val="24"/>
        </w:rPr>
        <w:t>ставления бюджетной отчетности.</w:t>
      </w:r>
    </w:p>
    <w:p w:rsidR="009361F8" w:rsidRPr="009361F8" w:rsidRDefault="003B5FC2" w:rsidP="009361F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FC2">
        <w:rPr>
          <w:rFonts w:ascii="Times New Roman" w:eastAsia="Times New Roman" w:hAnsi="Times New Roman" w:cs="Times New Roman"/>
          <w:sz w:val="24"/>
          <w:szCs w:val="24"/>
        </w:rPr>
        <w:t xml:space="preserve">Оценивалось качество правовых актов ГРБС, </w:t>
      </w:r>
      <w:r w:rsidR="006643FA" w:rsidRPr="003B5FC2">
        <w:rPr>
          <w:rFonts w:ascii="Times New Roman" w:eastAsia="Times New Roman" w:hAnsi="Times New Roman" w:cs="Times New Roman"/>
          <w:sz w:val="24"/>
          <w:szCs w:val="24"/>
        </w:rPr>
        <w:t>применяемы</w:t>
      </w:r>
      <w:r w:rsidRPr="003B5FC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643FA" w:rsidRPr="003B5FC2">
        <w:rPr>
          <w:rFonts w:ascii="Times New Roman" w:eastAsia="Times New Roman" w:hAnsi="Times New Roman" w:cs="Times New Roman"/>
          <w:sz w:val="24"/>
          <w:szCs w:val="24"/>
        </w:rPr>
        <w:t xml:space="preserve"> при подготовке бюджетных проектировок</w:t>
      </w:r>
      <w:r w:rsidR="00A232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3237" w:rsidRPr="00A23237">
        <w:rPr>
          <w:rFonts w:ascii="Times New Roman" w:eastAsia="Times New Roman" w:hAnsi="Times New Roman" w:cs="Times New Roman"/>
          <w:sz w:val="24"/>
          <w:szCs w:val="24"/>
        </w:rPr>
        <w:t>на очередной финансовый год и плановый период</w:t>
      </w:r>
      <w:r w:rsidR="006643FA" w:rsidRPr="003B5FC2">
        <w:rPr>
          <w:rFonts w:ascii="Times New Roman" w:eastAsia="Times New Roman" w:hAnsi="Times New Roman" w:cs="Times New Roman"/>
          <w:sz w:val="24"/>
          <w:szCs w:val="24"/>
        </w:rPr>
        <w:t xml:space="preserve">, регулирующих </w:t>
      </w:r>
      <w:r w:rsidR="009361F8" w:rsidRPr="003B5FC2">
        <w:rPr>
          <w:rFonts w:ascii="Times New Roman" w:eastAsia="Times New Roman" w:hAnsi="Times New Roman" w:cs="Times New Roman"/>
          <w:sz w:val="24"/>
          <w:szCs w:val="24"/>
        </w:rPr>
        <w:t xml:space="preserve">внутренние процедуры проведения мониторинга результатов деятельности (результативности расходов, качества предоставляемых услуг) бюджетных и автономных учреждений, подведомственных </w:t>
      </w:r>
      <w:r w:rsidR="00B97C83" w:rsidRPr="003B5FC2">
        <w:rPr>
          <w:rFonts w:ascii="Times New Roman" w:eastAsia="Times New Roman" w:hAnsi="Times New Roman" w:cs="Times New Roman"/>
          <w:sz w:val="24"/>
          <w:szCs w:val="24"/>
        </w:rPr>
        <w:t>получателей средств бюджета автономного округа (далее – ПБС)</w:t>
      </w:r>
      <w:r w:rsidR="00D64C8F" w:rsidRPr="003B5FC2">
        <w:rPr>
          <w:rFonts w:ascii="Times New Roman" w:eastAsia="Times New Roman" w:hAnsi="Times New Roman" w:cs="Times New Roman"/>
          <w:sz w:val="24"/>
          <w:szCs w:val="24"/>
        </w:rPr>
        <w:t xml:space="preserve"> и организацию внутреннего финансового аудита</w:t>
      </w:r>
      <w:r w:rsidR="009361F8" w:rsidRPr="003B5F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6B94" w:rsidRPr="00041CC8" w:rsidRDefault="00683D87" w:rsidP="004D0B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CC8">
        <w:rPr>
          <w:rFonts w:ascii="Times New Roman" w:eastAsia="Times New Roman" w:hAnsi="Times New Roman" w:cs="Times New Roman"/>
          <w:sz w:val="24"/>
          <w:szCs w:val="24"/>
        </w:rPr>
        <w:t>В ходе М</w:t>
      </w:r>
      <w:r w:rsidR="009361F8" w:rsidRPr="00041CC8">
        <w:rPr>
          <w:rFonts w:ascii="Times New Roman" w:eastAsia="Times New Roman" w:hAnsi="Times New Roman" w:cs="Times New Roman"/>
          <w:sz w:val="24"/>
          <w:szCs w:val="24"/>
        </w:rPr>
        <w:t>ониторинга были рассчитаны количественные показатели качества финансового менеджмента, наиболее значимым</w:t>
      </w:r>
      <w:r w:rsidR="00332AE2" w:rsidRPr="00041CC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361F8" w:rsidRPr="00041CC8">
        <w:rPr>
          <w:rFonts w:ascii="Times New Roman" w:eastAsia="Times New Roman" w:hAnsi="Times New Roman" w:cs="Times New Roman"/>
          <w:sz w:val="24"/>
          <w:szCs w:val="24"/>
        </w:rPr>
        <w:t xml:space="preserve"> из которых явля</w:t>
      </w:r>
      <w:r w:rsidR="00332AE2" w:rsidRPr="00041CC8">
        <w:rPr>
          <w:rFonts w:ascii="Times New Roman" w:eastAsia="Times New Roman" w:hAnsi="Times New Roman" w:cs="Times New Roman"/>
          <w:sz w:val="24"/>
          <w:szCs w:val="24"/>
        </w:rPr>
        <w:t>лись:</w:t>
      </w:r>
    </w:p>
    <w:p w:rsidR="00F56B94" w:rsidRPr="00041CC8" w:rsidRDefault="00F56B94" w:rsidP="004D0B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CC8">
        <w:rPr>
          <w:rFonts w:ascii="Times New Roman" w:eastAsia="Times New Roman" w:hAnsi="Times New Roman" w:cs="Times New Roman"/>
          <w:sz w:val="24"/>
          <w:szCs w:val="24"/>
        </w:rPr>
        <w:t>-</w:t>
      </w:r>
      <w:r w:rsidR="000977A3" w:rsidRPr="00041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CC8">
        <w:rPr>
          <w:rFonts w:ascii="Times New Roman" w:eastAsia="Times New Roman" w:hAnsi="Times New Roman" w:cs="Times New Roman"/>
          <w:sz w:val="24"/>
          <w:szCs w:val="24"/>
        </w:rPr>
        <w:t xml:space="preserve">показатель своевременности представления ГРБС документов в Департамент финансов в соответствии с графиком подготовки и рассмотрения документов и материалов, </w:t>
      </w:r>
      <w:r w:rsidRPr="00041CC8">
        <w:rPr>
          <w:rFonts w:ascii="Times New Roman" w:eastAsia="Times New Roman" w:hAnsi="Times New Roman" w:cs="Times New Roman"/>
          <w:sz w:val="24"/>
          <w:szCs w:val="24"/>
        </w:rPr>
        <w:lastRenderedPageBreak/>
        <w:t>разрабатываемых при составлении проекта бюджета автономного округа на очередной финансовый год и плановый период</w:t>
      </w:r>
      <w:r w:rsidR="002F52D5" w:rsidRPr="00041CC8">
        <w:rPr>
          <w:rFonts w:ascii="Times New Roman" w:eastAsia="Times New Roman" w:hAnsi="Times New Roman" w:cs="Times New Roman"/>
          <w:sz w:val="24"/>
          <w:szCs w:val="24"/>
        </w:rPr>
        <w:t xml:space="preserve"> (на 2021</w:t>
      </w:r>
      <w:r w:rsidR="00A748D2" w:rsidRPr="00041CC8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2F52D5" w:rsidRPr="00041CC8">
        <w:rPr>
          <w:rFonts w:ascii="Times New Roman" w:eastAsia="Times New Roman" w:hAnsi="Times New Roman" w:cs="Times New Roman"/>
          <w:sz w:val="24"/>
          <w:szCs w:val="24"/>
        </w:rPr>
        <w:t xml:space="preserve"> и на плановый период 2022</w:t>
      </w:r>
      <w:r w:rsidR="00677F0B" w:rsidRPr="00041CC8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2F52D5" w:rsidRPr="00041CC8">
        <w:rPr>
          <w:rFonts w:ascii="Times New Roman" w:eastAsia="Times New Roman" w:hAnsi="Times New Roman" w:cs="Times New Roman"/>
          <w:sz w:val="24"/>
          <w:szCs w:val="24"/>
        </w:rPr>
        <w:t>3</w:t>
      </w:r>
      <w:r w:rsidR="00A748D2" w:rsidRPr="00041CC8">
        <w:rPr>
          <w:rFonts w:ascii="Times New Roman" w:eastAsia="Times New Roman" w:hAnsi="Times New Roman" w:cs="Times New Roman"/>
          <w:sz w:val="24"/>
          <w:szCs w:val="24"/>
        </w:rPr>
        <w:t xml:space="preserve"> годов)</w:t>
      </w:r>
      <w:r w:rsidRPr="00041C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6B94" w:rsidRPr="00041CC8" w:rsidRDefault="00F56B94" w:rsidP="004D0B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CC8">
        <w:rPr>
          <w:rFonts w:ascii="Times New Roman" w:eastAsia="Times New Roman" w:hAnsi="Times New Roman" w:cs="Times New Roman"/>
          <w:sz w:val="24"/>
          <w:szCs w:val="24"/>
        </w:rPr>
        <w:t>-</w:t>
      </w:r>
      <w:r w:rsidR="00260E8A" w:rsidRPr="00041C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CC8">
        <w:rPr>
          <w:rFonts w:ascii="Times New Roman" w:eastAsia="Times New Roman" w:hAnsi="Times New Roman" w:cs="Times New Roman"/>
          <w:sz w:val="24"/>
          <w:szCs w:val="24"/>
        </w:rPr>
        <w:t>доля неисполненных на конец отчетного финансового года бюджетных ассигнований</w:t>
      </w:r>
      <w:r w:rsidR="002F52D5" w:rsidRPr="00041CC8">
        <w:rPr>
          <w:rFonts w:ascii="Times New Roman" w:eastAsia="Times New Roman" w:hAnsi="Times New Roman" w:cs="Times New Roman"/>
          <w:sz w:val="24"/>
          <w:szCs w:val="24"/>
        </w:rPr>
        <w:t xml:space="preserve"> (на конец 2020</w:t>
      </w:r>
      <w:r w:rsidR="00A748D2" w:rsidRPr="00041CC8">
        <w:rPr>
          <w:rFonts w:ascii="Times New Roman" w:eastAsia="Times New Roman" w:hAnsi="Times New Roman" w:cs="Times New Roman"/>
          <w:sz w:val="24"/>
          <w:szCs w:val="24"/>
        </w:rPr>
        <w:t xml:space="preserve"> года)</w:t>
      </w:r>
      <w:r w:rsidRPr="00041CC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6B94" w:rsidRPr="00041CC8" w:rsidRDefault="00F56B94" w:rsidP="00F56B9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1CC8">
        <w:rPr>
          <w:rFonts w:ascii="Times New Roman" w:hAnsi="Times New Roman" w:cs="Times New Roman"/>
          <w:sz w:val="24"/>
          <w:szCs w:val="24"/>
        </w:rPr>
        <w:t xml:space="preserve">- динамика объема материальных запасов ГРБС и </w:t>
      </w:r>
      <w:r w:rsidR="006A6863" w:rsidRPr="00041CC8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="00755176" w:rsidRPr="00041CC8">
        <w:rPr>
          <w:rFonts w:ascii="Times New Roman" w:hAnsi="Times New Roman" w:cs="Times New Roman"/>
          <w:sz w:val="24"/>
          <w:szCs w:val="24"/>
        </w:rPr>
        <w:t xml:space="preserve"> (на 01.01.20</w:t>
      </w:r>
      <w:r w:rsidR="00A0664C">
        <w:rPr>
          <w:rFonts w:ascii="Times New Roman" w:hAnsi="Times New Roman" w:cs="Times New Roman"/>
          <w:sz w:val="24"/>
          <w:szCs w:val="24"/>
        </w:rPr>
        <w:t>21</w:t>
      </w:r>
      <w:r w:rsidR="003B6500" w:rsidRPr="00041CC8">
        <w:rPr>
          <w:rFonts w:ascii="Times New Roman" w:hAnsi="Times New Roman" w:cs="Times New Roman"/>
          <w:sz w:val="24"/>
          <w:szCs w:val="24"/>
        </w:rPr>
        <w:t xml:space="preserve"> года)</w:t>
      </w:r>
      <w:r w:rsidRPr="00041CC8">
        <w:rPr>
          <w:rFonts w:ascii="Times New Roman" w:hAnsi="Times New Roman" w:cs="Times New Roman"/>
          <w:sz w:val="24"/>
          <w:szCs w:val="24"/>
        </w:rPr>
        <w:t>;</w:t>
      </w:r>
    </w:p>
    <w:p w:rsidR="00C33B9B" w:rsidRPr="00041CC8" w:rsidRDefault="00C33B9B" w:rsidP="00F56B9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1CC8">
        <w:rPr>
          <w:rFonts w:ascii="Times New Roman" w:hAnsi="Times New Roman" w:cs="Times New Roman"/>
          <w:sz w:val="24"/>
          <w:szCs w:val="24"/>
        </w:rPr>
        <w:t>- своевременность представления бюджетной отчетности</w:t>
      </w:r>
      <w:r w:rsidR="002F52D5" w:rsidRPr="00041CC8">
        <w:rPr>
          <w:rFonts w:ascii="Times New Roman" w:hAnsi="Times New Roman" w:cs="Times New Roman"/>
          <w:sz w:val="24"/>
          <w:szCs w:val="24"/>
        </w:rPr>
        <w:t xml:space="preserve"> (за 2020</w:t>
      </w:r>
      <w:r w:rsidR="003B6500" w:rsidRPr="00041CC8">
        <w:rPr>
          <w:rFonts w:ascii="Times New Roman" w:hAnsi="Times New Roman" w:cs="Times New Roman"/>
          <w:sz w:val="24"/>
          <w:szCs w:val="24"/>
        </w:rPr>
        <w:t xml:space="preserve"> год)</w:t>
      </w:r>
      <w:r w:rsidRPr="00041CC8">
        <w:rPr>
          <w:rFonts w:ascii="Times New Roman" w:hAnsi="Times New Roman" w:cs="Times New Roman"/>
          <w:sz w:val="24"/>
          <w:szCs w:val="24"/>
        </w:rPr>
        <w:t>;</w:t>
      </w:r>
    </w:p>
    <w:p w:rsidR="000977A3" w:rsidRPr="0095599E" w:rsidRDefault="00F56B94" w:rsidP="00F56B9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1CC8">
        <w:rPr>
          <w:rFonts w:ascii="Times New Roman" w:hAnsi="Times New Roman" w:cs="Times New Roman"/>
          <w:sz w:val="24"/>
          <w:szCs w:val="24"/>
        </w:rPr>
        <w:t>- показатели осуществления управленческого и аналитического учета</w:t>
      </w:r>
      <w:r w:rsidR="00642D60" w:rsidRPr="00041CC8">
        <w:rPr>
          <w:rFonts w:ascii="Times New Roman" w:hAnsi="Times New Roman" w:cs="Times New Roman"/>
          <w:sz w:val="24"/>
          <w:szCs w:val="24"/>
        </w:rPr>
        <w:t>,</w:t>
      </w:r>
      <w:r w:rsidR="006A6863" w:rsidRPr="00041CC8">
        <w:rPr>
          <w:rFonts w:ascii="Times New Roman" w:hAnsi="Times New Roman" w:cs="Times New Roman"/>
          <w:sz w:val="24"/>
          <w:szCs w:val="24"/>
        </w:rPr>
        <w:t xml:space="preserve"> а так</w:t>
      </w:r>
      <w:r w:rsidR="00C33B9B" w:rsidRPr="00041CC8">
        <w:rPr>
          <w:rFonts w:ascii="Times New Roman" w:hAnsi="Times New Roman" w:cs="Times New Roman"/>
          <w:sz w:val="24"/>
          <w:szCs w:val="24"/>
        </w:rPr>
        <w:t>же собл</w:t>
      </w:r>
      <w:r w:rsidR="00E5515C">
        <w:rPr>
          <w:rFonts w:ascii="Times New Roman" w:hAnsi="Times New Roman" w:cs="Times New Roman"/>
          <w:sz w:val="24"/>
          <w:szCs w:val="24"/>
        </w:rPr>
        <w:t xml:space="preserve">юдения бюджетного </w:t>
      </w:r>
      <w:r w:rsidR="00C33B9B" w:rsidRPr="00041CC8">
        <w:rPr>
          <w:rFonts w:ascii="Times New Roman" w:hAnsi="Times New Roman" w:cs="Times New Roman"/>
          <w:sz w:val="24"/>
          <w:szCs w:val="24"/>
        </w:rPr>
        <w:t>законодательства Российской Федерации</w:t>
      </w:r>
      <w:r w:rsidR="002F52D5" w:rsidRPr="00041CC8">
        <w:rPr>
          <w:rFonts w:ascii="Times New Roman" w:hAnsi="Times New Roman" w:cs="Times New Roman"/>
          <w:sz w:val="24"/>
          <w:szCs w:val="24"/>
        </w:rPr>
        <w:t xml:space="preserve"> (за 2020</w:t>
      </w:r>
      <w:r w:rsidR="003B6500" w:rsidRPr="00041CC8">
        <w:rPr>
          <w:rFonts w:ascii="Times New Roman" w:hAnsi="Times New Roman" w:cs="Times New Roman"/>
          <w:sz w:val="24"/>
          <w:szCs w:val="24"/>
        </w:rPr>
        <w:t xml:space="preserve"> год)</w:t>
      </w:r>
      <w:r w:rsidR="00C33B9B" w:rsidRPr="00041CC8">
        <w:rPr>
          <w:rFonts w:ascii="Times New Roman" w:hAnsi="Times New Roman" w:cs="Times New Roman"/>
          <w:sz w:val="24"/>
          <w:szCs w:val="24"/>
        </w:rPr>
        <w:t>.</w:t>
      </w:r>
    </w:p>
    <w:p w:rsidR="000C390B" w:rsidRDefault="000C390B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602">
        <w:rPr>
          <w:rFonts w:ascii="Times New Roman" w:hAnsi="Times New Roman" w:cs="Times New Roman"/>
          <w:sz w:val="24"/>
          <w:szCs w:val="24"/>
        </w:rPr>
        <w:t>При расчёте показателей качества финансового менеджмента учитывались отраслевые особенности</w:t>
      </w:r>
      <w:r w:rsidR="003E798C" w:rsidRPr="00CF3602">
        <w:rPr>
          <w:rFonts w:ascii="Times New Roman" w:hAnsi="Times New Roman" w:cs="Times New Roman"/>
          <w:sz w:val="24"/>
          <w:szCs w:val="24"/>
        </w:rPr>
        <w:t xml:space="preserve"> (доля расходов главных администраторов бюджетных средств автономного округа в расходах бюджета автономного округа, количество государственных учреждений, находящихся в функциональном подчинении)</w:t>
      </w:r>
      <w:r w:rsidRPr="00CF3602">
        <w:rPr>
          <w:rFonts w:ascii="Times New Roman" w:hAnsi="Times New Roman" w:cs="Times New Roman"/>
          <w:sz w:val="24"/>
          <w:szCs w:val="24"/>
        </w:rPr>
        <w:t>, влияющие на качество финансового менеджмента.</w:t>
      </w:r>
    </w:p>
    <w:p w:rsidR="00C61708" w:rsidRPr="00166EEE" w:rsidRDefault="00C61708" w:rsidP="00C617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6EEE">
        <w:rPr>
          <w:rFonts w:ascii="Times New Roman" w:hAnsi="Times New Roman" w:cs="Times New Roman"/>
          <w:sz w:val="24"/>
          <w:szCs w:val="24"/>
        </w:rPr>
        <w:t>В связи с совершенствованием в 2020 году методики оценки качества финансового менеджмента, осуществляемого главными распорядителями средств бюджета автономного округа и главными администраторами бюджетных средств далее по тексту результаты за 2020 год приводятся без сравнительной характеристики с 2019 годом из-за несопоставимости данных.</w:t>
      </w:r>
    </w:p>
    <w:p w:rsidR="008978B3" w:rsidRPr="008978B3" w:rsidRDefault="008978B3" w:rsidP="008978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602">
        <w:rPr>
          <w:rFonts w:ascii="Times New Roman" w:eastAsia="Times New Roman" w:hAnsi="Times New Roman" w:cs="Times New Roman"/>
          <w:sz w:val="24"/>
          <w:szCs w:val="24"/>
        </w:rPr>
        <w:t>Оценка показателей соответствующей группы по каждому главному администратору бюджетных средств определялась от 0 (наименьший) до 1 балла</w:t>
      </w:r>
      <w:r w:rsidR="00D262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6266" w:rsidRPr="00CF3602">
        <w:rPr>
          <w:rFonts w:ascii="Times New Roman" w:eastAsia="Times New Roman" w:hAnsi="Times New Roman" w:cs="Times New Roman"/>
          <w:sz w:val="24"/>
          <w:szCs w:val="24"/>
        </w:rPr>
        <w:t xml:space="preserve">(наивысший) </w:t>
      </w:r>
      <w:r w:rsidRPr="00CF3602">
        <w:rPr>
          <w:rFonts w:ascii="Times New Roman" w:eastAsia="Times New Roman" w:hAnsi="Times New Roman" w:cs="Times New Roman"/>
          <w:sz w:val="24"/>
          <w:szCs w:val="24"/>
        </w:rPr>
        <w:t>с последующим пересчетом на удельный вес показателя в группе и группы в целом. Итоговая балльная оценка качества финансового менеджмента каждого главного администратора бюджетных средств, сложившаяся по результатам Мониторинга, далее была скорректирована на коэффициент сложности управления финансами.</w:t>
      </w:r>
      <w:r w:rsidRPr="008978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78B3" w:rsidRDefault="008978B3" w:rsidP="008978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8B3">
        <w:rPr>
          <w:rFonts w:ascii="Times New Roman" w:eastAsia="Times New Roman" w:hAnsi="Times New Roman" w:cs="Times New Roman"/>
          <w:sz w:val="24"/>
          <w:szCs w:val="24"/>
        </w:rPr>
        <w:t>Сформирован рейтинг главных администраторов бюджетных средств в разрезе групп главных администраторов бюджетных средств, распределенных в зависимости от доли расходов главных администраторов бюджетных средств автономного округа в расходах бюджета автономного округа, а также от количества государственных учреждений, находящихся в функциональном подчинении (приложение 1 к настоящей пояснительной записке), а также рассчитана средняя итоговая оценка качества финансового менеджмента.</w:t>
      </w:r>
    </w:p>
    <w:p w:rsidR="00B82755" w:rsidRDefault="00170793" w:rsidP="00B8275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6E1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6805538" wp14:editId="14522DB9">
            <wp:extent cx="5939790" cy="3609975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5515C" w:rsidRDefault="00E5515C" w:rsidP="001D27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067A" w:rsidRPr="008C7FAD" w:rsidRDefault="001D272C" w:rsidP="001D27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D">
        <w:rPr>
          <w:rFonts w:ascii="Times New Roman" w:hAnsi="Times New Roman" w:cs="Times New Roman"/>
          <w:sz w:val="24"/>
          <w:szCs w:val="24"/>
        </w:rPr>
        <w:t>Наибольший средний балл набл</w:t>
      </w:r>
      <w:r w:rsidR="00A81593" w:rsidRPr="008C7FAD">
        <w:rPr>
          <w:rFonts w:ascii="Times New Roman" w:hAnsi="Times New Roman" w:cs="Times New Roman"/>
          <w:sz w:val="24"/>
          <w:szCs w:val="24"/>
        </w:rPr>
        <w:t>юдается по группе</w:t>
      </w:r>
      <w:r w:rsidRPr="008C7FAD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4B1B5F" w:rsidRPr="008C7FAD">
        <w:rPr>
          <w:rFonts w:ascii="Times New Roman" w:hAnsi="Times New Roman" w:cs="Times New Roman"/>
          <w:sz w:val="24"/>
          <w:szCs w:val="24"/>
        </w:rPr>
        <w:t xml:space="preserve">«Исполнение судебных актов» </w:t>
      </w:r>
      <w:r w:rsidR="003B6500" w:rsidRPr="008C7FAD">
        <w:rPr>
          <w:rFonts w:ascii="Times New Roman" w:hAnsi="Times New Roman" w:cs="Times New Roman"/>
          <w:sz w:val="24"/>
          <w:szCs w:val="24"/>
        </w:rPr>
        <w:t xml:space="preserve">– </w:t>
      </w:r>
      <w:r w:rsidR="00D77B08">
        <w:rPr>
          <w:rFonts w:ascii="Times New Roman" w:hAnsi="Times New Roman" w:cs="Times New Roman"/>
          <w:sz w:val="24"/>
          <w:szCs w:val="24"/>
        </w:rPr>
        <w:t>100 баллов</w:t>
      </w:r>
      <w:r w:rsidRPr="008C7FAD">
        <w:rPr>
          <w:rFonts w:ascii="Times New Roman" w:hAnsi="Times New Roman" w:cs="Times New Roman"/>
          <w:sz w:val="24"/>
          <w:szCs w:val="24"/>
        </w:rPr>
        <w:t xml:space="preserve">. Наименьший средний балл сложился по группе показателей «Управление активами» – </w:t>
      </w:r>
      <w:r w:rsidR="00D77B08">
        <w:rPr>
          <w:rFonts w:ascii="Times New Roman" w:hAnsi="Times New Roman" w:cs="Times New Roman"/>
          <w:sz w:val="24"/>
          <w:szCs w:val="24"/>
        </w:rPr>
        <w:t>52,9 балла</w:t>
      </w:r>
      <w:r w:rsidRPr="008C7FAD">
        <w:rPr>
          <w:rFonts w:ascii="Times New Roman" w:hAnsi="Times New Roman" w:cs="Times New Roman"/>
          <w:sz w:val="24"/>
          <w:szCs w:val="24"/>
        </w:rPr>
        <w:t>.</w:t>
      </w:r>
    </w:p>
    <w:p w:rsidR="00326019" w:rsidRDefault="001D272C" w:rsidP="00D77B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D">
        <w:rPr>
          <w:rFonts w:ascii="Times New Roman" w:hAnsi="Times New Roman" w:cs="Times New Roman"/>
          <w:sz w:val="24"/>
          <w:szCs w:val="24"/>
        </w:rPr>
        <w:t>Средние оценки качеств</w:t>
      </w:r>
      <w:r w:rsidR="00D77B08">
        <w:rPr>
          <w:rFonts w:ascii="Times New Roman" w:hAnsi="Times New Roman" w:cs="Times New Roman"/>
          <w:sz w:val="24"/>
          <w:szCs w:val="24"/>
        </w:rPr>
        <w:t>а финансового менеджмента за 2020</w:t>
      </w:r>
      <w:r w:rsidRPr="008C7FAD">
        <w:rPr>
          <w:rFonts w:ascii="Times New Roman" w:hAnsi="Times New Roman" w:cs="Times New Roman"/>
          <w:sz w:val="24"/>
          <w:szCs w:val="24"/>
        </w:rPr>
        <w:t xml:space="preserve"> год в разрезе групп показателей </w:t>
      </w:r>
      <w:r w:rsidR="00974D16" w:rsidRPr="008C7FAD">
        <w:rPr>
          <w:rFonts w:ascii="Times New Roman" w:hAnsi="Times New Roman" w:cs="Times New Roman"/>
          <w:sz w:val="24"/>
          <w:szCs w:val="24"/>
        </w:rPr>
        <w:t xml:space="preserve">и главных администраторов бюджетных средств </w:t>
      </w:r>
      <w:r w:rsidRPr="008C7FAD">
        <w:rPr>
          <w:rFonts w:ascii="Times New Roman" w:hAnsi="Times New Roman" w:cs="Times New Roman"/>
          <w:sz w:val="24"/>
          <w:szCs w:val="24"/>
        </w:rPr>
        <w:t>приведены далее</w:t>
      </w:r>
      <w:r w:rsidR="00974D16" w:rsidRPr="008C7FAD">
        <w:rPr>
          <w:rFonts w:ascii="Times New Roman" w:hAnsi="Times New Roman" w:cs="Times New Roman"/>
          <w:sz w:val="24"/>
          <w:szCs w:val="24"/>
        </w:rPr>
        <w:t xml:space="preserve"> и в приложении 2 к </w:t>
      </w:r>
      <w:r w:rsidR="00067BDA" w:rsidRPr="008C7FAD">
        <w:rPr>
          <w:rFonts w:ascii="Times New Roman" w:hAnsi="Times New Roman" w:cs="Times New Roman"/>
          <w:sz w:val="24"/>
          <w:szCs w:val="24"/>
        </w:rPr>
        <w:t>настоящей пояснительной записке</w:t>
      </w:r>
      <w:r w:rsidRPr="008C7FAD">
        <w:rPr>
          <w:rFonts w:ascii="Times New Roman" w:hAnsi="Times New Roman" w:cs="Times New Roman"/>
          <w:sz w:val="24"/>
          <w:szCs w:val="24"/>
        </w:rPr>
        <w:t>.</w:t>
      </w:r>
    </w:p>
    <w:p w:rsidR="00AC7740" w:rsidRDefault="000C390B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90B">
        <w:rPr>
          <w:rFonts w:ascii="Times New Roman" w:hAnsi="Times New Roman" w:cs="Times New Roman"/>
          <w:sz w:val="24"/>
          <w:szCs w:val="24"/>
          <w:u w:val="single"/>
        </w:rPr>
        <w:t>Средняя итоговая оценка</w:t>
      </w:r>
      <w:r w:rsidR="00AD49E7">
        <w:rPr>
          <w:rFonts w:ascii="Times New Roman" w:hAnsi="Times New Roman" w:cs="Times New Roman"/>
          <w:sz w:val="24"/>
          <w:szCs w:val="24"/>
          <w:u w:val="single"/>
        </w:rPr>
        <w:t>, скорректированная на коэффициент сложности управления финансами</w:t>
      </w:r>
      <w:r w:rsidR="005E4A2D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CA5166">
        <w:rPr>
          <w:rFonts w:ascii="Times New Roman" w:hAnsi="Times New Roman" w:cs="Times New Roman"/>
          <w:sz w:val="24"/>
          <w:szCs w:val="24"/>
        </w:rPr>
        <w:t xml:space="preserve"> по итогам</w:t>
      </w:r>
      <w:r w:rsidR="000D2BFF">
        <w:rPr>
          <w:rFonts w:ascii="Times New Roman" w:hAnsi="Times New Roman" w:cs="Times New Roman"/>
          <w:sz w:val="24"/>
          <w:szCs w:val="24"/>
        </w:rPr>
        <w:t xml:space="preserve"> </w:t>
      </w:r>
      <w:r w:rsidR="00D77B08">
        <w:rPr>
          <w:rFonts w:ascii="Times New Roman" w:hAnsi="Times New Roman" w:cs="Times New Roman"/>
          <w:sz w:val="24"/>
          <w:szCs w:val="24"/>
        </w:rPr>
        <w:t>2020</w:t>
      </w:r>
      <w:r w:rsidR="00CA5166">
        <w:rPr>
          <w:rFonts w:ascii="Times New Roman" w:hAnsi="Times New Roman" w:cs="Times New Roman"/>
          <w:sz w:val="24"/>
          <w:szCs w:val="24"/>
        </w:rPr>
        <w:t xml:space="preserve"> года по 3</w:t>
      </w:r>
      <w:r w:rsidR="004C0ED1">
        <w:rPr>
          <w:rFonts w:ascii="Times New Roman" w:hAnsi="Times New Roman" w:cs="Times New Roman"/>
          <w:sz w:val="24"/>
          <w:szCs w:val="24"/>
        </w:rPr>
        <w:t>7</w:t>
      </w:r>
      <w:r w:rsidRPr="000C390B">
        <w:rPr>
          <w:rFonts w:ascii="Times New Roman" w:hAnsi="Times New Roman" w:cs="Times New Roman"/>
          <w:sz w:val="24"/>
          <w:szCs w:val="24"/>
        </w:rPr>
        <w:t xml:space="preserve"> оцениваемым </w:t>
      </w:r>
      <w:r w:rsidR="00F22DC8" w:rsidRPr="00F22DC8">
        <w:rPr>
          <w:rFonts w:ascii="Times New Roman" w:hAnsi="Times New Roman" w:cs="Times New Roman"/>
          <w:sz w:val="24"/>
          <w:szCs w:val="24"/>
        </w:rPr>
        <w:t>главным администраторам бюджетных средств</w:t>
      </w:r>
      <w:r w:rsidRPr="000C390B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E927AC">
        <w:rPr>
          <w:rFonts w:ascii="Times New Roman" w:hAnsi="Times New Roman" w:cs="Times New Roman"/>
          <w:sz w:val="24"/>
          <w:szCs w:val="24"/>
        </w:rPr>
        <w:t xml:space="preserve">ила </w:t>
      </w:r>
      <w:r w:rsidR="00D77B08">
        <w:rPr>
          <w:rFonts w:ascii="Times New Roman" w:hAnsi="Times New Roman" w:cs="Times New Roman"/>
          <w:sz w:val="24"/>
          <w:szCs w:val="24"/>
        </w:rPr>
        <w:t>89,1</w:t>
      </w:r>
      <w:r w:rsidR="0039122E" w:rsidRPr="004E1D3D">
        <w:rPr>
          <w:rFonts w:ascii="Times New Roman" w:hAnsi="Times New Roman" w:cs="Times New Roman"/>
          <w:sz w:val="24"/>
          <w:szCs w:val="24"/>
        </w:rPr>
        <w:t xml:space="preserve"> балл</w:t>
      </w:r>
      <w:r w:rsidR="00D77B08">
        <w:rPr>
          <w:rFonts w:ascii="Times New Roman" w:hAnsi="Times New Roman" w:cs="Times New Roman"/>
          <w:sz w:val="24"/>
          <w:szCs w:val="24"/>
        </w:rPr>
        <w:t>а</w:t>
      </w:r>
      <w:r w:rsidRPr="004E1D3D">
        <w:rPr>
          <w:rFonts w:ascii="Times New Roman" w:hAnsi="Times New Roman" w:cs="Times New Roman"/>
          <w:sz w:val="24"/>
          <w:szCs w:val="24"/>
        </w:rPr>
        <w:t xml:space="preserve"> по 100-балльной шкале</w:t>
      </w:r>
      <w:r w:rsidR="00CF65F0">
        <w:rPr>
          <w:rFonts w:ascii="Times New Roman" w:hAnsi="Times New Roman" w:cs="Times New Roman"/>
          <w:sz w:val="24"/>
          <w:szCs w:val="24"/>
        </w:rPr>
        <w:t>.</w:t>
      </w:r>
    </w:p>
    <w:p w:rsidR="000C390B" w:rsidRDefault="007F2F02" w:rsidP="001D54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58E">
        <w:rPr>
          <w:rFonts w:ascii="Times New Roman" w:hAnsi="Times New Roman" w:cs="Times New Roman"/>
          <w:sz w:val="24"/>
          <w:szCs w:val="24"/>
        </w:rPr>
        <w:t>Из</w:t>
      </w:r>
      <w:r w:rsidR="00CA5166" w:rsidRPr="0028658E">
        <w:rPr>
          <w:rFonts w:ascii="Times New Roman" w:hAnsi="Times New Roman" w:cs="Times New Roman"/>
          <w:sz w:val="24"/>
          <w:szCs w:val="24"/>
        </w:rPr>
        <w:t xml:space="preserve"> 3</w:t>
      </w:r>
      <w:r w:rsidR="007040FC">
        <w:rPr>
          <w:rFonts w:ascii="Times New Roman" w:hAnsi="Times New Roman" w:cs="Times New Roman"/>
          <w:sz w:val="24"/>
          <w:szCs w:val="24"/>
        </w:rPr>
        <w:t>7</w:t>
      </w:r>
      <w:r w:rsidR="00874BDF" w:rsidRPr="0028658E">
        <w:rPr>
          <w:rFonts w:ascii="Times New Roman" w:hAnsi="Times New Roman" w:cs="Times New Roman"/>
          <w:sz w:val="24"/>
          <w:szCs w:val="24"/>
        </w:rPr>
        <w:t xml:space="preserve"> оцениваемых </w:t>
      </w:r>
      <w:r w:rsidR="00F22DC8" w:rsidRPr="0028658E">
        <w:rPr>
          <w:rFonts w:ascii="Times New Roman" w:hAnsi="Times New Roman" w:cs="Times New Roman"/>
          <w:sz w:val="24"/>
          <w:szCs w:val="24"/>
        </w:rPr>
        <w:t>главных администраторов бюджетных средств</w:t>
      </w:r>
      <w:r w:rsidR="00874BDF" w:rsidRPr="0028658E">
        <w:rPr>
          <w:rFonts w:ascii="Times New Roman" w:hAnsi="Times New Roman" w:cs="Times New Roman"/>
          <w:sz w:val="24"/>
          <w:szCs w:val="24"/>
        </w:rPr>
        <w:t xml:space="preserve"> </w:t>
      </w:r>
      <w:r w:rsidR="007A6252">
        <w:rPr>
          <w:rFonts w:ascii="Times New Roman" w:hAnsi="Times New Roman" w:cs="Times New Roman"/>
          <w:sz w:val="24"/>
          <w:szCs w:val="24"/>
        </w:rPr>
        <w:t>20</w:t>
      </w:r>
      <w:r w:rsidR="000C390B" w:rsidRPr="0028658E">
        <w:rPr>
          <w:rFonts w:ascii="Times New Roman" w:hAnsi="Times New Roman" w:cs="Times New Roman"/>
          <w:sz w:val="24"/>
          <w:szCs w:val="24"/>
        </w:rPr>
        <w:t xml:space="preserve"> </w:t>
      </w:r>
      <w:r w:rsidR="001F4365" w:rsidRPr="0028658E">
        <w:rPr>
          <w:rFonts w:ascii="Times New Roman" w:hAnsi="Times New Roman" w:cs="Times New Roman"/>
          <w:sz w:val="24"/>
          <w:szCs w:val="24"/>
        </w:rPr>
        <w:t>(</w:t>
      </w:r>
      <w:r w:rsidR="007A6252">
        <w:rPr>
          <w:rFonts w:ascii="Times New Roman" w:hAnsi="Times New Roman" w:cs="Times New Roman"/>
          <w:sz w:val="24"/>
          <w:szCs w:val="24"/>
        </w:rPr>
        <w:t>54,1</w:t>
      </w:r>
      <w:r w:rsidR="00F639AD">
        <w:rPr>
          <w:rFonts w:ascii="Times New Roman" w:hAnsi="Times New Roman" w:cs="Times New Roman"/>
          <w:sz w:val="24"/>
          <w:szCs w:val="24"/>
        </w:rPr>
        <w:t xml:space="preserve"> % </w:t>
      </w:r>
      <w:r w:rsidR="001F4365" w:rsidRPr="0028658E">
        <w:rPr>
          <w:rFonts w:ascii="Times New Roman" w:hAnsi="Times New Roman" w:cs="Times New Roman"/>
          <w:sz w:val="24"/>
          <w:szCs w:val="24"/>
        </w:rPr>
        <w:t xml:space="preserve">от оцениваемого количества) </w:t>
      </w:r>
      <w:r w:rsidR="000C390B" w:rsidRPr="0028658E">
        <w:rPr>
          <w:rFonts w:ascii="Times New Roman" w:hAnsi="Times New Roman" w:cs="Times New Roman"/>
          <w:sz w:val="24"/>
          <w:szCs w:val="24"/>
        </w:rPr>
        <w:t>имеют итоговые оценки качества финансового мен</w:t>
      </w:r>
      <w:r w:rsidR="008042D6" w:rsidRPr="0028658E">
        <w:rPr>
          <w:rFonts w:ascii="Times New Roman" w:hAnsi="Times New Roman" w:cs="Times New Roman"/>
          <w:sz w:val="24"/>
          <w:szCs w:val="24"/>
        </w:rPr>
        <w:t>еджмента</w:t>
      </w:r>
      <w:r w:rsidR="005C1550" w:rsidRPr="005C1550">
        <w:rPr>
          <w:rFonts w:ascii="Times New Roman" w:hAnsi="Times New Roman" w:cs="Times New Roman"/>
          <w:sz w:val="24"/>
          <w:szCs w:val="24"/>
        </w:rPr>
        <w:t>, скорректированн</w:t>
      </w:r>
      <w:r w:rsidR="005C1550">
        <w:rPr>
          <w:rFonts w:ascii="Times New Roman" w:hAnsi="Times New Roman" w:cs="Times New Roman"/>
          <w:sz w:val="24"/>
          <w:szCs w:val="24"/>
        </w:rPr>
        <w:t>ые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 на коэффициент </w:t>
      </w:r>
      <w:r w:rsidR="005C1550">
        <w:rPr>
          <w:rFonts w:ascii="Times New Roman" w:hAnsi="Times New Roman" w:cs="Times New Roman"/>
          <w:sz w:val="24"/>
          <w:szCs w:val="24"/>
        </w:rPr>
        <w:t>сложности управления финансами,</w:t>
      </w:r>
      <w:r w:rsidR="008042D6" w:rsidRPr="0028658E">
        <w:rPr>
          <w:rFonts w:ascii="Times New Roman" w:hAnsi="Times New Roman" w:cs="Times New Roman"/>
          <w:sz w:val="24"/>
          <w:szCs w:val="24"/>
        </w:rPr>
        <w:t xml:space="preserve"> выше среднего балла, у </w:t>
      </w:r>
      <w:r w:rsidR="0031285F">
        <w:rPr>
          <w:rFonts w:ascii="Times New Roman" w:hAnsi="Times New Roman" w:cs="Times New Roman"/>
          <w:sz w:val="24"/>
          <w:szCs w:val="24"/>
        </w:rPr>
        <w:t xml:space="preserve">остальных </w:t>
      </w:r>
      <w:r w:rsidR="007A6252">
        <w:rPr>
          <w:rFonts w:ascii="Times New Roman" w:hAnsi="Times New Roman" w:cs="Times New Roman"/>
          <w:sz w:val="24"/>
          <w:szCs w:val="24"/>
        </w:rPr>
        <w:t>17</w:t>
      </w:r>
      <w:r w:rsidR="000C390B" w:rsidRPr="0028658E">
        <w:rPr>
          <w:rFonts w:ascii="Times New Roman" w:hAnsi="Times New Roman" w:cs="Times New Roman"/>
          <w:sz w:val="24"/>
          <w:szCs w:val="24"/>
        </w:rPr>
        <w:t xml:space="preserve"> </w:t>
      </w:r>
      <w:r w:rsidR="00133937">
        <w:rPr>
          <w:rFonts w:ascii="Times New Roman" w:hAnsi="Times New Roman" w:cs="Times New Roman"/>
          <w:sz w:val="24"/>
          <w:szCs w:val="24"/>
        </w:rPr>
        <w:t>(</w:t>
      </w:r>
      <w:r w:rsidR="007A6252">
        <w:rPr>
          <w:rFonts w:ascii="Times New Roman" w:hAnsi="Times New Roman" w:cs="Times New Roman"/>
          <w:sz w:val="24"/>
          <w:szCs w:val="24"/>
        </w:rPr>
        <w:t>45,9</w:t>
      </w:r>
      <w:r w:rsidR="00133937">
        <w:rPr>
          <w:rFonts w:ascii="Times New Roman" w:hAnsi="Times New Roman" w:cs="Times New Roman"/>
          <w:sz w:val="24"/>
          <w:szCs w:val="24"/>
        </w:rPr>
        <w:t xml:space="preserve"> % </w:t>
      </w:r>
      <w:r w:rsidR="00133937" w:rsidRPr="0028658E">
        <w:rPr>
          <w:rFonts w:ascii="Times New Roman" w:hAnsi="Times New Roman" w:cs="Times New Roman"/>
          <w:sz w:val="24"/>
          <w:szCs w:val="24"/>
        </w:rPr>
        <w:t xml:space="preserve">от оцениваемого </w:t>
      </w:r>
      <w:r w:rsidR="00A161C8">
        <w:rPr>
          <w:rFonts w:ascii="Times New Roman" w:hAnsi="Times New Roman" w:cs="Times New Roman"/>
          <w:sz w:val="24"/>
          <w:szCs w:val="24"/>
        </w:rPr>
        <w:t xml:space="preserve">их </w:t>
      </w:r>
      <w:r w:rsidR="00133937" w:rsidRPr="0028658E">
        <w:rPr>
          <w:rFonts w:ascii="Times New Roman" w:hAnsi="Times New Roman" w:cs="Times New Roman"/>
          <w:sz w:val="24"/>
          <w:szCs w:val="24"/>
        </w:rPr>
        <w:t>количества</w:t>
      </w:r>
      <w:r w:rsidR="00133937">
        <w:rPr>
          <w:rFonts w:ascii="Times New Roman" w:hAnsi="Times New Roman" w:cs="Times New Roman"/>
          <w:sz w:val="24"/>
          <w:szCs w:val="24"/>
        </w:rPr>
        <w:t>)</w:t>
      </w:r>
      <w:r w:rsidR="000C390B" w:rsidRPr="0028658E">
        <w:rPr>
          <w:rFonts w:ascii="Times New Roman" w:hAnsi="Times New Roman" w:cs="Times New Roman"/>
          <w:sz w:val="24"/>
          <w:szCs w:val="24"/>
        </w:rPr>
        <w:t xml:space="preserve"> итоговые оценки ниже среднего балла.</w:t>
      </w:r>
    </w:p>
    <w:p w:rsidR="000C390B" w:rsidRPr="00163210" w:rsidRDefault="00D25C3E" w:rsidP="001D54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210">
        <w:rPr>
          <w:rFonts w:ascii="Times New Roman" w:hAnsi="Times New Roman" w:cs="Times New Roman"/>
          <w:sz w:val="24"/>
          <w:szCs w:val="24"/>
        </w:rPr>
        <w:t>В ранжировании главных администраторов бюджетных средств</w:t>
      </w:r>
      <w:r w:rsidR="00CB15D8" w:rsidRPr="00163210">
        <w:rPr>
          <w:rFonts w:ascii="Times New Roman" w:hAnsi="Times New Roman" w:cs="Times New Roman"/>
          <w:sz w:val="24"/>
          <w:szCs w:val="24"/>
        </w:rPr>
        <w:t>, не имеющих в функциональном подчинении</w:t>
      </w:r>
      <w:r w:rsidRPr="00163210">
        <w:rPr>
          <w:rFonts w:ascii="Times New Roman" w:hAnsi="Times New Roman" w:cs="Times New Roman"/>
          <w:sz w:val="24"/>
          <w:szCs w:val="24"/>
        </w:rPr>
        <w:t xml:space="preserve"> </w:t>
      </w:r>
      <w:r w:rsidR="00CB15D8" w:rsidRPr="00163210">
        <w:rPr>
          <w:rFonts w:ascii="Times New Roman" w:hAnsi="Times New Roman" w:cs="Times New Roman"/>
          <w:sz w:val="24"/>
          <w:szCs w:val="24"/>
        </w:rPr>
        <w:t>государственны</w:t>
      </w:r>
      <w:r w:rsidR="00491BE5">
        <w:rPr>
          <w:rFonts w:ascii="Times New Roman" w:hAnsi="Times New Roman" w:cs="Times New Roman"/>
          <w:sz w:val="24"/>
          <w:szCs w:val="24"/>
        </w:rPr>
        <w:t>е</w:t>
      </w:r>
      <w:r w:rsidR="00CB15D8" w:rsidRPr="00163210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491BE5">
        <w:rPr>
          <w:rFonts w:ascii="Times New Roman" w:hAnsi="Times New Roman" w:cs="Times New Roman"/>
          <w:sz w:val="24"/>
          <w:szCs w:val="24"/>
        </w:rPr>
        <w:t>я</w:t>
      </w:r>
      <w:r w:rsidR="00E171C8" w:rsidRPr="00163210">
        <w:rPr>
          <w:rFonts w:ascii="Times New Roman" w:hAnsi="Times New Roman" w:cs="Times New Roman"/>
          <w:sz w:val="24"/>
          <w:szCs w:val="24"/>
        </w:rPr>
        <w:t>,</w:t>
      </w:r>
      <w:r w:rsidR="00CB15D8" w:rsidRPr="00163210">
        <w:rPr>
          <w:rFonts w:ascii="Times New Roman" w:hAnsi="Times New Roman" w:cs="Times New Roman"/>
          <w:sz w:val="24"/>
          <w:szCs w:val="24"/>
        </w:rPr>
        <w:t xml:space="preserve"> </w:t>
      </w:r>
      <w:r w:rsidRPr="00163210">
        <w:rPr>
          <w:rFonts w:ascii="Times New Roman" w:hAnsi="Times New Roman" w:cs="Times New Roman"/>
          <w:sz w:val="24"/>
          <w:szCs w:val="24"/>
        </w:rPr>
        <w:t>н</w:t>
      </w:r>
      <w:r w:rsidR="000C390B" w:rsidRPr="00163210">
        <w:rPr>
          <w:rFonts w:ascii="Times New Roman" w:hAnsi="Times New Roman" w:cs="Times New Roman"/>
          <w:sz w:val="24"/>
          <w:szCs w:val="24"/>
        </w:rPr>
        <w:t>аилучшие итоговые оценки качества финансового менеджмента</w:t>
      </w:r>
      <w:r w:rsidR="006012C0" w:rsidRPr="00163210">
        <w:rPr>
          <w:rFonts w:ascii="Times New Roman" w:hAnsi="Times New Roman" w:cs="Times New Roman"/>
          <w:sz w:val="24"/>
          <w:szCs w:val="24"/>
        </w:rPr>
        <w:t xml:space="preserve"> </w:t>
      </w:r>
      <w:r w:rsidR="000C390B" w:rsidRPr="00163210">
        <w:rPr>
          <w:rFonts w:ascii="Times New Roman" w:hAnsi="Times New Roman" w:cs="Times New Roman"/>
          <w:sz w:val="24"/>
          <w:szCs w:val="24"/>
        </w:rPr>
        <w:t>имеют следующие:</w:t>
      </w:r>
    </w:p>
    <w:p w:rsidR="00D67CFE" w:rsidRDefault="007A6252" w:rsidP="007A6252">
      <w:pPr>
        <w:pStyle w:val="a3"/>
        <w:numPr>
          <w:ilvl w:val="0"/>
          <w:numId w:val="1"/>
        </w:numPr>
        <w:spacing w:line="360" w:lineRule="auto"/>
        <w:ind w:left="0" w:firstLine="0"/>
      </w:pPr>
      <w:r>
        <w:t>Д</w:t>
      </w:r>
      <w:r w:rsidRPr="007A6252">
        <w:t xml:space="preserve">епартамент государственного заказа Ханты-Мансийского автономного округа – Югры </w:t>
      </w:r>
      <w:r>
        <w:t>(98 баллов</w:t>
      </w:r>
      <w:r w:rsidR="00D67CFE">
        <w:t>);</w:t>
      </w:r>
    </w:p>
    <w:p w:rsidR="003F6201" w:rsidRDefault="003F6201" w:rsidP="003F6201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429F">
        <w:t xml:space="preserve">Департамент финансов Ханты-Мансийского автономного округа – Югры </w:t>
      </w:r>
      <w:r w:rsidR="007A6252">
        <w:t xml:space="preserve">                      </w:t>
      </w:r>
      <w:r w:rsidRPr="00163210">
        <w:t>(</w:t>
      </w:r>
      <w:r w:rsidR="007A6252">
        <w:t>98</w:t>
      </w:r>
      <w:r>
        <w:t xml:space="preserve"> </w:t>
      </w:r>
      <w:r w:rsidRPr="00163210">
        <w:t>балл</w:t>
      </w:r>
      <w:r>
        <w:t>ов</w:t>
      </w:r>
      <w:r w:rsidRPr="00163210">
        <w:t>);</w:t>
      </w:r>
    </w:p>
    <w:p w:rsidR="000F4A34" w:rsidRPr="00163210" w:rsidRDefault="007A6252" w:rsidP="007A6252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7A6252">
        <w:lastRenderedPageBreak/>
        <w:t xml:space="preserve">Региональная служба по тарифам Ханты-Мансийского автономного округа – Югры </w:t>
      </w:r>
      <w:r>
        <w:t xml:space="preserve">            </w:t>
      </w:r>
      <w:r w:rsidR="000F4A34">
        <w:t>(</w:t>
      </w:r>
      <w:r>
        <w:t>98  баллов</w:t>
      </w:r>
      <w:r w:rsidR="000F4A34">
        <w:t>).</w:t>
      </w:r>
    </w:p>
    <w:p w:rsidR="000C390B" w:rsidRPr="003B2159" w:rsidRDefault="00F500F9" w:rsidP="00A62A6E">
      <w:pPr>
        <w:pStyle w:val="a3"/>
        <w:spacing w:line="360" w:lineRule="auto"/>
        <w:ind w:left="0" w:firstLine="709"/>
      </w:pPr>
      <w:r w:rsidRPr="001C0AA3">
        <w:t>Н</w:t>
      </w:r>
      <w:r w:rsidR="00D25C3E" w:rsidRPr="001C0AA3">
        <w:t>изкий рейтинг</w:t>
      </w:r>
      <w:r w:rsidR="000C390B" w:rsidRPr="001C0AA3">
        <w:t xml:space="preserve"> </w:t>
      </w:r>
      <w:r w:rsidR="00D25C3E" w:rsidRPr="001C0AA3">
        <w:t>имеют</w:t>
      </w:r>
      <w:r w:rsidR="000C390B" w:rsidRPr="001C0AA3">
        <w:t>:</w:t>
      </w:r>
    </w:p>
    <w:p w:rsidR="00614F15" w:rsidRPr="000F4A34" w:rsidRDefault="007A6252" w:rsidP="007A6252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7A6252">
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</w:r>
      <w:r w:rsidR="00DA429F" w:rsidRPr="00DA429F">
        <w:t xml:space="preserve"> </w:t>
      </w:r>
      <w:r w:rsidR="00614F15" w:rsidRPr="000F4A34">
        <w:t>(</w:t>
      </w:r>
      <w:r>
        <w:t>82,4</w:t>
      </w:r>
      <w:r w:rsidR="00614F15" w:rsidRPr="000F4A34">
        <w:t xml:space="preserve"> балла);</w:t>
      </w:r>
    </w:p>
    <w:p w:rsidR="006012C0" w:rsidRPr="000F4A34" w:rsidRDefault="00DA429F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429F">
        <w:t xml:space="preserve">Департамент жилищно-коммунального комплекса и энергетики Ханты-Мансийского автономного округа – Югры </w:t>
      </w:r>
      <w:r w:rsidR="006012C0" w:rsidRPr="000F4A34">
        <w:t>(</w:t>
      </w:r>
      <w:r w:rsidR="007A6252">
        <w:t>83,6</w:t>
      </w:r>
      <w:r w:rsidR="006012C0" w:rsidRPr="000F4A34">
        <w:t xml:space="preserve"> балла);</w:t>
      </w:r>
    </w:p>
    <w:p w:rsidR="006012C0" w:rsidRPr="000F4A34" w:rsidRDefault="007A6252" w:rsidP="007A6252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7A6252">
        <w:t xml:space="preserve">Служба государственного надзора за техническим состоянием самоходных машин и других видов техники Ханты-Мансийского автономного округа – Югры </w:t>
      </w:r>
      <w:r w:rsidR="00A45189" w:rsidRPr="000F4A34">
        <w:t>(</w:t>
      </w:r>
      <w:r w:rsidR="00DA429F">
        <w:t>8</w:t>
      </w:r>
      <w:r>
        <w:t>3</w:t>
      </w:r>
      <w:r w:rsidR="00DA429F">
        <w:t>,</w:t>
      </w:r>
      <w:r>
        <w:t>7</w:t>
      </w:r>
      <w:r w:rsidR="003B2159" w:rsidRPr="000F4A34">
        <w:t xml:space="preserve"> балл</w:t>
      </w:r>
      <w:r w:rsidR="00491BE5" w:rsidRPr="000F4A34">
        <w:t>а</w:t>
      </w:r>
      <w:r w:rsidR="003B2159" w:rsidRPr="000F4A34">
        <w:t>).</w:t>
      </w:r>
    </w:p>
    <w:p w:rsidR="00417B3B" w:rsidRPr="002B0CF1" w:rsidRDefault="00417B3B" w:rsidP="00417B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CF1">
        <w:rPr>
          <w:rFonts w:ascii="Times New Roman" w:hAnsi="Times New Roman" w:cs="Times New Roman"/>
          <w:sz w:val="24"/>
          <w:szCs w:val="24"/>
        </w:rPr>
        <w:t>В ранжировании главных администраторов бюджетных средств, имеющих в функциональном подчинении государственные учреждения</w:t>
      </w:r>
      <w:r w:rsidR="00E171C8" w:rsidRPr="002B0CF1">
        <w:rPr>
          <w:rFonts w:ascii="Times New Roman" w:hAnsi="Times New Roman" w:cs="Times New Roman"/>
          <w:sz w:val="24"/>
          <w:szCs w:val="24"/>
        </w:rPr>
        <w:t>,</w:t>
      </w:r>
      <w:r w:rsidRPr="002B0CF1">
        <w:rPr>
          <w:rFonts w:ascii="Times New Roman" w:hAnsi="Times New Roman" w:cs="Times New Roman"/>
          <w:sz w:val="24"/>
          <w:szCs w:val="24"/>
        </w:rPr>
        <w:t xml:space="preserve"> наилучшие итоговые оценки качества финансового менеджмента имеют следующие:</w:t>
      </w:r>
    </w:p>
    <w:p w:rsidR="00530DD1" w:rsidRDefault="007A6252" w:rsidP="007A6252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7A6252">
        <w:t>Служба жилищного и строительного надзора Ханты-Мансийского автономного округа – Югры</w:t>
      </w:r>
      <w:r>
        <w:t xml:space="preserve"> (96,2</w:t>
      </w:r>
      <w:r w:rsidR="00867BE5">
        <w:t xml:space="preserve"> балла</w:t>
      </w:r>
      <w:r w:rsidR="00530DD1" w:rsidRPr="000F4A34">
        <w:t>);</w:t>
      </w:r>
    </w:p>
    <w:p w:rsidR="00530DD1" w:rsidRPr="000F4A34" w:rsidRDefault="007A6252" w:rsidP="00867BE5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7A6252">
        <w:t xml:space="preserve">Департамент промышленности Ханты-Мансийского автономного округа – Югры </w:t>
      </w:r>
      <w:r w:rsidR="00530DD1">
        <w:t>(95,</w:t>
      </w:r>
      <w:r w:rsidR="00867BE5">
        <w:t>3</w:t>
      </w:r>
      <w:r w:rsidR="00530DD1" w:rsidRPr="000F4A34">
        <w:t xml:space="preserve"> балл</w:t>
      </w:r>
      <w:r w:rsidR="00530DD1">
        <w:t>а)</w:t>
      </w:r>
      <w:r w:rsidR="00867BE5">
        <w:t>;</w:t>
      </w:r>
    </w:p>
    <w:p w:rsidR="00E5515C" w:rsidRDefault="00530DD1" w:rsidP="00530DD1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35397">
        <w:t xml:space="preserve">Департамент </w:t>
      </w:r>
      <w:r>
        <w:t>гражданской защиты</w:t>
      </w:r>
      <w:r w:rsidRPr="00A35397">
        <w:t xml:space="preserve"> населения Ханты-Мансийского автономного округа – Югры </w:t>
      </w:r>
      <w:r w:rsidRPr="000F4A34">
        <w:t>(</w:t>
      </w:r>
      <w:r w:rsidR="00867BE5">
        <w:t>93</w:t>
      </w:r>
      <w:r w:rsidRPr="000F4A34">
        <w:t xml:space="preserve"> балл</w:t>
      </w:r>
      <w:r>
        <w:t>а</w:t>
      </w:r>
      <w:r w:rsidRPr="000F4A34">
        <w:t>)</w:t>
      </w:r>
      <w:r w:rsidR="00E5515C">
        <w:t>;</w:t>
      </w:r>
    </w:p>
    <w:p w:rsidR="00491BE5" w:rsidRPr="000F4A34" w:rsidRDefault="00E5515C" w:rsidP="00E5515C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E5515C">
        <w:t>Департамент недропользования и природных ресурсов Ханты-Мансийского автономного округа – Югры</w:t>
      </w:r>
      <w:r>
        <w:t xml:space="preserve"> (93</w:t>
      </w:r>
      <w:r w:rsidRPr="000F4A34">
        <w:t xml:space="preserve"> балл</w:t>
      </w:r>
      <w:r>
        <w:t>а)</w:t>
      </w:r>
      <w:r w:rsidR="00530DD1">
        <w:t>.</w:t>
      </w:r>
    </w:p>
    <w:p w:rsidR="00417B3B" w:rsidRPr="00B136CB" w:rsidRDefault="00F500F9" w:rsidP="008B0B60">
      <w:pPr>
        <w:pStyle w:val="a3"/>
        <w:spacing w:line="360" w:lineRule="auto"/>
        <w:ind w:left="0" w:firstLine="709"/>
      </w:pPr>
      <w:r>
        <w:t>Н</w:t>
      </w:r>
      <w:r w:rsidR="00417B3B" w:rsidRPr="00B136CB">
        <w:t>изкий рейтинг имеют:</w:t>
      </w:r>
    </w:p>
    <w:p w:rsidR="00EA0C3D" w:rsidRDefault="00EA0C3D" w:rsidP="00EA0C3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35397">
        <w:t xml:space="preserve">Департамент </w:t>
      </w:r>
      <w:r>
        <w:t>общественных и внешних связей</w:t>
      </w:r>
      <w:r w:rsidRPr="00A35397">
        <w:t xml:space="preserve"> Ханты-Мансийского автономного округа – Югры </w:t>
      </w:r>
      <w:r w:rsidRPr="00CD63E4">
        <w:t>(</w:t>
      </w:r>
      <w:r w:rsidR="00807767">
        <w:t>77,3</w:t>
      </w:r>
      <w:r w:rsidRPr="00CD63E4">
        <w:t xml:space="preserve"> балла)</w:t>
      </w:r>
      <w:r w:rsidR="00867BE5">
        <w:t>;</w:t>
      </w:r>
    </w:p>
    <w:p w:rsidR="00E5515C" w:rsidRDefault="00E5515C" w:rsidP="00EA0C3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35397">
        <w:t xml:space="preserve">Департамент </w:t>
      </w:r>
      <w:r>
        <w:t>по управлению государственным имуществом</w:t>
      </w:r>
      <w:r w:rsidRPr="00A35397">
        <w:t xml:space="preserve"> Ханты-Мансийского автономного округа – Югры </w:t>
      </w:r>
      <w:r w:rsidRPr="00CD63E4">
        <w:t>(</w:t>
      </w:r>
      <w:r>
        <w:t>78,5 балла);</w:t>
      </w:r>
    </w:p>
    <w:p w:rsidR="00867BE5" w:rsidRDefault="00867BE5" w:rsidP="00E5515C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35397">
        <w:t>Департамент строительства Ханты-Мансийского автономного округа – Югры</w:t>
      </w:r>
      <w:r w:rsidR="00E5515C">
        <w:t xml:space="preserve">             </w:t>
      </w:r>
      <w:r w:rsidRPr="00A35397">
        <w:t xml:space="preserve"> </w:t>
      </w:r>
      <w:r w:rsidRPr="00CD63E4">
        <w:t>(</w:t>
      </w:r>
      <w:r w:rsidR="00807767">
        <w:t>78,8</w:t>
      </w:r>
      <w:r>
        <w:t xml:space="preserve"> балла</w:t>
      </w:r>
      <w:r w:rsidR="00E5515C">
        <w:t>)</w:t>
      </w:r>
      <w:r>
        <w:t>.</w:t>
      </w:r>
    </w:p>
    <w:p w:rsidR="00A67E14" w:rsidRPr="00CD63E4" w:rsidRDefault="00A67E14" w:rsidP="00A67E14">
      <w:pPr>
        <w:pStyle w:val="a3"/>
        <w:spacing w:line="360" w:lineRule="auto"/>
        <w:ind w:left="0"/>
      </w:pPr>
    </w:p>
    <w:p w:rsidR="00326019" w:rsidRPr="00592D31" w:rsidRDefault="000C390B" w:rsidP="00592D31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818">
        <w:rPr>
          <w:rFonts w:ascii="Times New Roman" w:hAnsi="Times New Roman" w:cs="Times New Roman"/>
          <w:b/>
          <w:sz w:val="24"/>
          <w:szCs w:val="24"/>
        </w:rPr>
        <w:t>1. Среднесрочное финансовое планирование</w:t>
      </w:r>
    </w:p>
    <w:p w:rsidR="003B0849" w:rsidRDefault="003B0849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расчёта показателей М</w:t>
      </w:r>
      <w:r w:rsidRPr="000C390B">
        <w:rPr>
          <w:rFonts w:ascii="Times New Roman" w:hAnsi="Times New Roman" w:cs="Times New Roman"/>
          <w:sz w:val="24"/>
          <w:szCs w:val="24"/>
        </w:rPr>
        <w:t>ониторинга в части среднесрочного плани</w:t>
      </w:r>
      <w:r>
        <w:rPr>
          <w:rFonts w:ascii="Times New Roman" w:hAnsi="Times New Roman" w:cs="Times New Roman"/>
          <w:sz w:val="24"/>
          <w:szCs w:val="24"/>
        </w:rPr>
        <w:t>рования расходов использовались</w:t>
      </w:r>
      <w:r w:rsidRPr="00763077">
        <w:rPr>
          <w:rFonts w:ascii="Times New Roman" w:hAnsi="Times New Roman" w:cs="Times New Roman"/>
          <w:sz w:val="24"/>
          <w:szCs w:val="24"/>
        </w:rPr>
        <w:t xml:space="preserve"> </w:t>
      </w:r>
      <w:r w:rsidRPr="000C390B">
        <w:rPr>
          <w:rFonts w:ascii="Times New Roman" w:hAnsi="Times New Roman" w:cs="Times New Roman"/>
          <w:sz w:val="24"/>
          <w:szCs w:val="24"/>
        </w:rPr>
        <w:t xml:space="preserve">справки о внесении изменений в сводную бюджетную роспись бюджета автономного округа в случае </w:t>
      </w:r>
      <w:r>
        <w:rPr>
          <w:rFonts w:ascii="Times New Roman" w:hAnsi="Times New Roman" w:cs="Times New Roman"/>
          <w:sz w:val="24"/>
          <w:szCs w:val="24"/>
        </w:rPr>
        <w:t>перераспределения</w:t>
      </w:r>
      <w:r w:rsidRPr="000C390B">
        <w:rPr>
          <w:rFonts w:ascii="Times New Roman" w:hAnsi="Times New Roman" w:cs="Times New Roman"/>
          <w:sz w:val="24"/>
          <w:szCs w:val="24"/>
        </w:rPr>
        <w:t xml:space="preserve"> </w:t>
      </w:r>
      <w:r w:rsidRPr="00736479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0C390B">
        <w:rPr>
          <w:rFonts w:ascii="Times New Roman" w:hAnsi="Times New Roman" w:cs="Times New Roman"/>
          <w:sz w:val="24"/>
          <w:szCs w:val="24"/>
        </w:rPr>
        <w:t xml:space="preserve">ассигнований в разрезе кодов </w:t>
      </w:r>
      <w:r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бюджета.</w:t>
      </w:r>
    </w:p>
    <w:p w:rsidR="003B0849" w:rsidRPr="00C46609" w:rsidRDefault="00B10236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 2020</w:t>
      </w:r>
      <w:r w:rsidR="003B0849" w:rsidRPr="000A0531">
        <w:rPr>
          <w:rFonts w:ascii="Times New Roman" w:hAnsi="Times New Roman" w:cs="Times New Roman"/>
          <w:sz w:val="24"/>
          <w:szCs w:val="24"/>
        </w:rPr>
        <w:t xml:space="preserve"> год</w:t>
      </w:r>
      <w:r w:rsidR="003B0849">
        <w:rPr>
          <w:rFonts w:ascii="Times New Roman" w:hAnsi="Times New Roman" w:cs="Times New Roman"/>
          <w:sz w:val="24"/>
          <w:szCs w:val="24"/>
        </w:rPr>
        <w:t xml:space="preserve"> </w:t>
      </w:r>
      <w:r w:rsidR="003B0849" w:rsidRPr="000A0531">
        <w:rPr>
          <w:rFonts w:ascii="Times New Roman" w:hAnsi="Times New Roman" w:cs="Times New Roman"/>
          <w:sz w:val="24"/>
          <w:szCs w:val="24"/>
        </w:rPr>
        <w:t xml:space="preserve">по обращениям </w:t>
      </w:r>
      <w:r w:rsidR="003B0849">
        <w:rPr>
          <w:rFonts w:ascii="Times New Roman" w:hAnsi="Times New Roman" w:cs="Times New Roman"/>
          <w:sz w:val="24"/>
          <w:szCs w:val="24"/>
        </w:rPr>
        <w:t>ГРБС</w:t>
      </w:r>
      <w:r w:rsidR="003B0849" w:rsidRPr="000A0531">
        <w:rPr>
          <w:rFonts w:ascii="Times New Roman" w:hAnsi="Times New Roman" w:cs="Times New Roman"/>
          <w:sz w:val="24"/>
          <w:szCs w:val="24"/>
        </w:rPr>
        <w:t xml:space="preserve"> </w:t>
      </w:r>
      <w:r w:rsidR="00133937">
        <w:rPr>
          <w:rFonts w:ascii="Times New Roman" w:hAnsi="Times New Roman" w:cs="Times New Roman"/>
          <w:sz w:val="24"/>
          <w:szCs w:val="24"/>
        </w:rPr>
        <w:t xml:space="preserve">в </w:t>
      </w:r>
      <w:r w:rsidR="0049282D" w:rsidRPr="009361F8">
        <w:rPr>
          <w:rFonts w:ascii="Times New Roman" w:eastAsia="Times New Roman" w:hAnsi="Times New Roman" w:cs="Times New Roman"/>
          <w:sz w:val="24"/>
          <w:szCs w:val="24"/>
        </w:rPr>
        <w:t>Департамент финансов автономного округа</w:t>
      </w:r>
      <w:r w:rsidR="0049282D" w:rsidRPr="000A0531">
        <w:rPr>
          <w:rFonts w:ascii="Times New Roman" w:hAnsi="Times New Roman" w:cs="Times New Roman"/>
          <w:sz w:val="24"/>
          <w:szCs w:val="24"/>
        </w:rPr>
        <w:t xml:space="preserve"> </w:t>
      </w:r>
      <w:r w:rsidR="003B0849" w:rsidRPr="000A0531">
        <w:rPr>
          <w:rFonts w:ascii="Times New Roman" w:hAnsi="Times New Roman" w:cs="Times New Roman"/>
          <w:sz w:val="24"/>
          <w:szCs w:val="24"/>
        </w:rPr>
        <w:t>был</w:t>
      </w:r>
      <w:r w:rsidR="008D3412">
        <w:rPr>
          <w:rFonts w:ascii="Times New Roman" w:hAnsi="Times New Roman" w:cs="Times New Roman"/>
          <w:sz w:val="24"/>
          <w:szCs w:val="24"/>
        </w:rPr>
        <w:t xml:space="preserve">о </w:t>
      </w:r>
      <w:r w:rsidR="003B0849" w:rsidRPr="000A0531">
        <w:rPr>
          <w:rFonts w:ascii="Times New Roman" w:hAnsi="Times New Roman" w:cs="Times New Roman"/>
          <w:sz w:val="24"/>
          <w:szCs w:val="24"/>
        </w:rPr>
        <w:t>оформлен</w:t>
      </w:r>
      <w:r w:rsidR="008D3412">
        <w:rPr>
          <w:rFonts w:ascii="Times New Roman" w:hAnsi="Times New Roman" w:cs="Times New Roman"/>
          <w:sz w:val="24"/>
          <w:szCs w:val="24"/>
        </w:rPr>
        <w:t>о</w:t>
      </w:r>
      <w:r w:rsidR="003B0849" w:rsidRPr="000A0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357</w:t>
      </w:r>
      <w:r w:rsidR="003B0849" w:rsidRPr="000A0531">
        <w:rPr>
          <w:rFonts w:ascii="Times New Roman" w:hAnsi="Times New Roman" w:cs="Times New Roman"/>
          <w:sz w:val="24"/>
          <w:szCs w:val="24"/>
        </w:rPr>
        <w:t xml:space="preserve"> справ</w:t>
      </w:r>
      <w:r w:rsidR="008D3412">
        <w:rPr>
          <w:rFonts w:ascii="Times New Roman" w:hAnsi="Times New Roman" w:cs="Times New Roman"/>
          <w:sz w:val="24"/>
          <w:szCs w:val="24"/>
        </w:rPr>
        <w:t>о</w:t>
      </w:r>
      <w:r w:rsidR="003B0849" w:rsidRPr="000A0531">
        <w:rPr>
          <w:rFonts w:ascii="Times New Roman" w:hAnsi="Times New Roman" w:cs="Times New Roman"/>
          <w:sz w:val="24"/>
          <w:szCs w:val="24"/>
        </w:rPr>
        <w:t>к</w:t>
      </w:r>
      <w:r w:rsidR="003B0849" w:rsidRPr="00C46609">
        <w:rPr>
          <w:rFonts w:ascii="Times New Roman" w:hAnsi="Times New Roman" w:cs="Times New Roman"/>
          <w:sz w:val="24"/>
          <w:szCs w:val="24"/>
        </w:rPr>
        <w:t xml:space="preserve"> о внесении изменений в сводную бюджетную роспись бюджета автономного округа </w:t>
      </w:r>
      <w:r w:rsidR="003B0849" w:rsidRPr="00486701">
        <w:rPr>
          <w:rFonts w:ascii="Times New Roman" w:hAnsi="Times New Roman" w:cs="Times New Roman"/>
          <w:sz w:val="24"/>
          <w:szCs w:val="24"/>
        </w:rPr>
        <w:t>с кодами вид</w:t>
      </w:r>
      <w:r w:rsidR="00133937">
        <w:rPr>
          <w:rFonts w:ascii="Times New Roman" w:hAnsi="Times New Roman" w:cs="Times New Roman"/>
          <w:sz w:val="24"/>
          <w:szCs w:val="24"/>
        </w:rPr>
        <w:t>ов</w:t>
      </w:r>
      <w:r w:rsidR="003B0849" w:rsidRPr="00486701">
        <w:rPr>
          <w:rFonts w:ascii="Times New Roman" w:hAnsi="Times New Roman" w:cs="Times New Roman"/>
          <w:sz w:val="24"/>
          <w:szCs w:val="24"/>
        </w:rPr>
        <w:t xml:space="preserve"> изменений 02070</w:t>
      </w:r>
      <w:r w:rsidR="00E5515C">
        <w:rPr>
          <w:rFonts w:ascii="Times New Roman" w:hAnsi="Times New Roman" w:cs="Times New Roman"/>
          <w:sz w:val="24"/>
          <w:szCs w:val="24"/>
        </w:rPr>
        <w:t xml:space="preserve"> (</w:t>
      </w:r>
      <w:r w:rsidR="00E5515C" w:rsidRPr="00E120EF">
        <w:rPr>
          <w:rFonts w:ascii="Times New Roman" w:hAnsi="Times New Roman" w:cs="Times New Roman"/>
          <w:sz w:val="24"/>
          <w:szCs w:val="24"/>
        </w:rPr>
        <w:t>Изменения, вносимые в случае увеличения бюджетных ассигнований по разделам, подразделам, целевым статьям и видам расходов классификации расходов бюджета за счет средств, образовавшихся в связи с экономией в текущем финансовом году бюджетных ассигнований на оказание государственных услуг</w:t>
      </w:r>
      <w:r w:rsidR="00E5515C">
        <w:rPr>
          <w:rFonts w:ascii="Times New Roman" w:hAnsi="Times New Roman" w:cs="Times New Roman"/>
          <w:sz w:val="24"/>
          <w:szCs w:val="24"/>
        </w:rPr>
        <w:t xml:space="preserve"> (выполнение работ)</w:t>
      </w:r>
      <w:r w:rsidR="00E5515C" w:rsidRPr="00E120EF">
        <w:rPr>
          <w:rFonts w:ascii="Times New Roman" w:hAnsi="Times New Roman" w:cs="Times New Roman"/>
          <w:sz w:val="24"/>
          <w:szCs w:val="24"/>
        </w:rPr>
        <w:t>, в пределах общего объема бюджетных ассигнований, предусмотренных главному распорядителю средств бюджета автономного округа в текущем финансовом году на указанные цели</w:t>
      </w:r>
      <w:r w:rsidR="00E5515C">
        <w:rPr>
          <w:rFonts w:ascii="Times New Roman" w:hAnsi="Times New Roman" w:cs="Times New Roman"/>
          <w:sz w:val="24"/>
          <w:szCs w:val="24"/>
        </w:rPr>
        <w:t>)</w:t>
      </w:r>
      <w:r w:rsidR="003B0849" w:rsidRPr="00486701">
        <w:rPr>
          <w:rFonts w:ascii="Times New Roman" w:hAnsi="Times New Roman" w:cs="Times New Roman"/>
          <w:sz w:val="24"/>
          <w:szCs w:val="24"/>
        </w:rPr>
        <w:t xml:space="preserve">, 02130 </w:t>
      </w:r>
      <w:r w:rsidR="00E5515C">
        <w:rPr>
          <w:rFonts w:ascii="Times New Roman" w:hAnsi="Times New Roman" w:cs="Times New Roman"/>
          <w:sz w:val="24"/>
          <w:szCs w:val="24"/>
        </w:rPr>
        <w:t>(</w:t>
      </w:r>
      <w:r w:rsidR="00E5515C" w:rsidRPr="00E120EF">
        <w:rPr>
          <w:rFonts w:ascii="Times New Roman" w:hAnsi="Times New Roman" w:cs="Times New Roman"/>
          <w:sz w:val="24"/>
          <w:szCs w:val="24"/>
        </w:rPr>
        <w:t>Изменения, вносимые в связи с перераспределением бюджетных ассигнований по иным основаниям, установленным Бюджетным кодексом Российской Федерации и законом о бюджете автономного округа</w:t>
      </w:r>
      <w:r w:rsidR="00E5515C">
        <w:rPr>
          <w:rFonts w:ascii="Times New Roman" w:hAnsi="Times New Roman" w:cs="Times New Roman"/>
          <w:sz w:val="24"/>
          <w:szCs w:val="24"/>
        </w:rPr>
        <w:t xml:space="preserve">) </w:t>
      </w:r>
      <w:r w:rsidR="00E5515C" w:rsidRPr="00C46609">
        <w:rPr>
          <w:rFonts w:ascii="Times New Roman" w:hAnsi="Times New Roman" w:cs="Times New Roman"/>
          <w:sz w:val="24"/>
          <w:szCs w:val="24"/>
        </w:rPr>
        <w:t xml:space="preserve">в связи с перераспределением </w:t>
      </w:r>
      <w:r w:rsidR="00E5515C">
        <w:rPr>
          <w:rFonts w:ascii="Times New Roman" w:hAnsi="Times New Roman" w:cs="Times New Roman"/>
          <w:sz w:val="24"/>
          <w:szCs w:val="24"/>
        </w:rPr>
        <w:t>бюджетных ассигнований</w:t>
      </w:r>
      <w:r w:rsidR="00E5515C" w:rsidRPr="00C46609">
        <w:rPr>
          <w:rFonts w:ascii="Times New Roman" w:hAnsi="Times New Roman" w:cs="Times New Roman"/>
          <w:sz w:val="24"/>
          <w:szCs w:val="24"/>
        </w:rPr>
        <w:t xml:space="preserve"> в разрезе кодов </w:t>
      </w:r>
      <w:r w:rsidR="00E5515C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r w:rsidR="00E5515C" w:rsidRPr="00C46609">
        <w:rPr>
          <w:rFonts w:ascii="Times New Roman" w:hAnsi="Times New Roman" w:cs="Times New Roman"/>
          <w:sz w:val="24"/>
          <w:szCs w:val="24"/>
        </w:rPr>
        <w:t xml:space="preserve"> (в части </w:t>
      </w:r>
      <w:r w:rsidR="00E5515C">
        <w:rPr>
          <w:rFonts w:ascii="Times New Roman" w:hAnsi="Times New Roman" w:cs="Times New Roman"/>
          <w:sz w:val="24"/>
          <w:szCs w:val="24"/>
        </w:rPr>
        <w:t xml:space="preserve">их </w:t>
      </w:r>
      <w:r w:rsidR="00E5515C" w:rsidRPr="00C46609">
        <w:rPr>
          <w:rFonts w:ascii="Times New Roman" w:hAnsi="Times New Roman" w:cs="Times New Roman"/>
          <w:sz w:val="24"/>
          <w:szCs w:val="24"/>
        </w:rPr>
        <w:t>у</w:t>
      </w:r>
      <w:r w:rsidR="00E5515C">
        <w:rPr>
          <w:rFonts w:ascii="Times New Roman" w:hAnsi="Times New Roman" w:cs="Times New Roman"/>
          <w:sz w:val="24"/>
          <w:szCs w:val="24"/>
        </w:rPr>
        <w:t>величения</w:t>
      </w:r>
      <w:r w:rsidR="00E5515C" w:rsidRPr="00C46609">
        <w:rPr>
          <w:rFonts w:ascii="Times New Roman" w:hAnsi="Times New Roman" w:cs="Times New Roman"/>
          <w:sz w:val="24"/>
          <w:szCs w:val="24"/>
        </w:rPr>
        <w:t>)</w:t>
      </w:r>
      <w:r w:rsidR="00E5515C">
        <w:rPr>
          <w:rFonts w:ascii="Times New Roman" w:hAnsi="Times New Roman" w:cs="Times New Roman"/>
          <w:sz w:val="24"/>
          <w:szCs w:val="24"/>
        </w:rPr>
        <w:t xml:space="preserve"> </w:t>
      </w:r>
      <w:r w:rsidR="003B0849" w:rsidRPr="00C46609">
        <w:rPr>
          <w:rFonts w:ascii="Times New Roman" w:hAnsi="Times New Roman" w:cs="Times New Roman"/>
          <w:sz w:val="24"/>
          <w:szCs w:val="24"/>
        </w:rPr>
        <w:t xml:space="preserve">в связи с перераспределением годовых назначений в разрезе кодов </w:t>
      </w:r>
      <w:r w:rsidR="003B0849">
        <w:rPr>
          <w:rFonts w:ascii="Times New Roman" w:hAnsi="Times New Roman" w:cs="Times New Roman"/>
          <w:sz w:val="24"/>
          <w:szCs w:val="24"/>
        </w:rPr>
        <w:t>видов расходов</w:t>
      </w:r>
      <w:r w:rsidR="008A4864">
        <w:rPr>
          <w:rFonts w:ascii="Times New Roman" w:hAnsi="Times New Roman" w:cs="Times New Roman"/>
          <w:sz w:val="24"/>
          <w:szCs w:val="24"/>
        </w:rPr>
        <w:t>.</w:t>
      </w:r>
      <w:r w:rsidR="003B0849">
        <w:rPr>
          <w:rFonts w:ascii="Times New Roman" w:hAnsi="Times New Roman" w:cs="Times New Roman"/>
          <w:sz w:val="24"/>
          <w:szCs w:val="24"/>
        </w:rPr>
        <w:t xml:space="preserve"> </w:t>
      </w:r>
      <w:r w:rsidR="003B0849" w:rsidRPr="00C46609">
        <w:rPr>
          <w:rFonts w:ascii="Times New Roman" w:hAnsi="Times New Roman" w:cs="Times New Roman"/>
          <w:sz w:val="24"/>
          <w:szCs w:val="24"/>
        </w:rPr>
        <w:t>Большое количество оформленных справок и значительные суммы изменений бюджетных ассигнований свидетельствуют о некачественном планировании ГРБС соответствующих расходов.</w:t>
      </w:r>
    </w:p>
    <w:p w:rsidR="00715A54" w:rsidRPr="00DA6E6C" w:rsidRDefault="003B0849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</w:t>
      </w:r>
      <w:r w:rsidR="00FE1C7F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FE1C7F">
        <w:rPr>
          <w:rFonts w:ascii="Times New Roman" w:hAnsi="Times New Roman" w:cs="Times New Roman"/>
          <w:sz w:val="24"/>
          <w:szCs w:val="24"/>
        </w:rPr>
        <w:t>изкие оценки</w:t>
      </w:r>
      <w:r w:rsidRPr="00775A02">
        <w:rPr>
          <w:rFonts w:ascii="Times New Roman" w:hAnsi="Times New Roman" w:cs="Times New Roman"/>
          <w:sz w:val="24"/>
          <w:szCs w:val="24"/>
        </w:rPr>
        <w:t xml:space="preserve"> по количеств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75A02">
        <w:rPr>
          <w:rFonts w:ascii="Times New Roman" w:hAnsi="Times New Roman" w:cs="Times New Roman"/>
          <w:sz w:val="24"/>
          <w:szCs w:val="24"/>
        </w:rPr>
        <w:t xml:space="preserve"> </w:t>
      </w:r>
      <w:r w:rsidRPr="00C46609">
        <w:rPr>
          <w:rFonts w:ascii="Times New Roman" w:hAnsi="Times New Roman" w:cs="Times New Roman"/>
          <w:sz w:val="24"/>
          <w:szCs w:val="24"/>
        </w:rPr>
        <w:t xml:space="preserve">оформленных </w:t>
      </w:r>
      <w:r w:rsidRPr="008371F5">
        <w:rPr>
          <w:rFonts w:ascii="Times New Roman" w:hAnsi="Times New Roman" w:cs="Times New Roman"/>
          <w:sz w:val="24"/>
          <w:szCs w:val="24"/>
        </w:rPr>
        <w:t>справок</w:t>
      </w:r>
      <w:r w:rsidRPr="00775A02">
        <w:rPr>
          <w:rFonts w:ascii="Times New Roman" w:hAnsi="Times New Roman" w:cs="Times New Roman"/>
          <w:sz w:val="24"/>
          <w:szCs w:val="24"/>
        </w:rPr>
        <w:t xml:space="preserve"> с учетом отраслевых особенностей име</w:t>
      </w:r>
      <w:r w:rsidR="00FE1C7F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E1C7F">
        <w:rPr>
          <w:rFonts w:ascii="Times New Roman" w:hAnsi="Times New Roman" w:cs="Times New Roman"/>
          <w:sz w:val="24"/>
          <w:szCs w:val="24"/>
        </w:rPr>
        <w:t>:</w:t>
      </w:r>
      <w:r w:rsidR="008D3412">
        <w:rPr>
          <w:rFonts w:ascii="Times New Roman" w:hAnsi="Times New Roman" w:cs="Times New Roman"/>
          <w:sz w:val="24"/>
          <w:szCs w:val="24"/>
        </w:rPr>
        <w:t xml:space="preserve"> </w:t>
      </w:r>
      <w:r w:rsidR="00F0329B" w:rsidRPr="008371F5">
        <w:rPr>
          <w:rFonts w:ascii="Times New Roman" w:hAnsi="Times New Roman" w:cs="Times New Roman"/>
          <w:sz w:val="24"/>
          <w:szCs w:val="24"/>
        </w:rPr>
        <w:t xml:space="preserve">Департамент </w:t>
      </w:r>
      <w:r w:rsidR="00F0329B">
        <w:rPr>
          <w:rFonts w:ascii="Times New Roman" w:hAnsi="Times New Roman" w:cs="Times New Roman"/>
          <w:sz w:val="24"/>
          <w:szCs w:val="24"/>
        </w:rPr>
        <w:t>строительства</w:t>
      </w:r>
      <w:r w:rsidR="00F0329B" w:rsidRPr="003E5F63">
        <w:rPr>
          <w:rFonts w:ascii="Times New Roman" w:hAnsi="Times New Roman" w:cs="Times New Roman"/>
          <w:sz w:val="24"/>
          <w:szCs w:val="24"/>
        </w:rPr>
        <w:t xml:space="preserve"> </w:t>
      </w:r>
      <w:r w:rsidR="00F0329B" w:rsidRPr="00763077">
        <w:rPr>
          <w:rFonts w:ascii="Times New Roman" w:hAnsi="Times New Roman" w:cs="Times New Roman"/>
          <w:sz w:val="24"/>
          <w:szCs w:val="24"/>
        </w:rPr>
        <w:t>Ханты-Мансийского автономного округа</w:t>
      </w:r>
      <w:r w:rsidR="00F0329B">
        <w:rPr>
          <w:rFonts w:ascii="Times New Roman" w:hAnsi="Times New Roman" w:cs="Times New Roman"/>
          <w:sz w:val="24"/>
          <w:szCs w:val="24"/>
        </w:rPr>
        <w:t> </w:t>
      </w:r>
      <w:r w:rsidR="00F0329B" w:rsidRPr="00763077">
        <w:rPr>
          <w:rFonts w:ascii="Times New Roman" w:hAnsi="Times New Roman" w:cs="Times New Roman"/>
          <w:sz w:val="24"/>
          <w:szCs w:val="24"/>
        </w:rPr>
        <w:t xml:space="preserve">– Югры </w:t>
      </w:r>
      <w:r w:rsidR="00F0329B" w:rsidRPr="00775A02">
        <w:rPr>
          <w:rFonts w:ascii="Times New Roman" w:hAnsi="Times New Roman" w:cs="Times New Roman"/>
          <w:sz w:val="24"/>
          <w:szCs w:val="24"/>
        </w:rPr>
        <w:t>– 0</w:t>
      </w:r>
      <w:r w:rsidR="00B477CC">
        <w:rPr>
          <w:rFonts w:ascii="Times New Roman" w:hAnsi="Times New Roman" w:cs="Times New Roman"/>
          <w:sz w:val="24"/>
          <w:szCs w:val="24"/>
        </w:rPr>
        <w:t>,</w:t>
      </w:r>
      <w:r w:rsidR="00F0329B">
        <w:rPr>
          <w:rFonts w:ascii="Times New Roman" w:hAnsi="Times New Roman" w:cs="Times New Roman"/>
          <w:sz w:val="24"/>
          <w:szCs w:val="24"/>
        </w:rPr>
        <w:t>8</w:t>
      </w:r>
      <w:r w:rsidR="00B477CC">
        <w:rPr>
          <w:rFonts w:ascii="Times New Roman" w:hAnsi="Times New Roman" w:cs="Times New Roman"/>
          <w:sz w:val="24"/>
          <w:szCs w:val="24"/>
        </w:rPr>
        <w:t>3 балла (17 справок</w:t>
      </w:r>
      <w:r w:rsidR="00F0329B">
        <w:rPr>
          <w:rFonts w:ascii="Times New Roman" w:hAnsi="Times New Roman" w:cs="Times New Roman"/>
          <w:sz w:val="24"/>
          <w:szCs w:val="24"/>
        </w:rPr>
        <w:t xml:space="preserve">), </w:t>
      </w:r>
      <w:r w:rsidR="008D3412">
        <w:rPr>
          <w:rFonts w:ascii="Times New Roman" w:hAnsi="Times New Roman" w:cs="Times New Roman"/>
          <w:sz w:val="24"/>
          <w:szCs w:val="24"/>
        </w:rPr>
        <w:t xml:space="preserve">Департамент общественных и внешних связей </w:t>
      </w:r>
      <w:r w:rsidR="008D3412" w:rsidRPr="00763077">
        <w:rPr>
          <w:rFonts w:ascii="Times New Roman" w:hAnsi="Times New Roman" w:cs="Times New Roman"/>
          <w:sz w:val="24"/>
          <w:szCs w:val="24"/>
        </w:rPr>
        <w:t xml:space="preserve">Ханты-Мансийского автономного округа – Югры </w:t>
      </w:r>
      <w:r w:rsidR="008D3412" w:rsidRPr="00775A02">
        <w:rPr>
          <w:rFonts w:ascii="Times New Roman" w:hAnsi="Times New Roman" w:cs="Times New Roman"/>
          <w:sz w:val="24"/>
          <w:szCs w:val="24"/>
        </w:rPr>
        <w:t>– 0</w:t>
      </w:r>
      <w:r w:rsidR="00B477CC">
        <w:rPr>
          <w:rFonts w:ascii="Times New Roman" w:hAnsi="Times New Roman" w:cs="Times New Roman"/>
          <w:sz w:val="24"/>
          <w:szCs w:val="24"/>
        </w:rPr>
        <w:t>,85</w:t>
      </w:r>
      <w:r w:rsidR="00715A54">
        <w:rPr>
          <w:rFonts w:ascii="Times New Roman" w:hAnsi="Times New Roman" w:cs="Times New Roman"/>
          <w:sz w:val="24"/>
          <w:szCs w:val="24"/>
        </w:rPr>
        <w:t xml:space="preserve"> </w:t>
      </w:r>
      <w:r w:rsidR="00B477CC">
        <w:rPr>
          <w:rFonts w:ascii="Times New Roman" w:hAnsi="Times New Roman" w:cs="Times New Roman"/>
          <w:sz w:val="24"/>
          <w:szCs w:val="24"/>
        </w:rPr>
        <w:t>балла (15</w:t>
      </w:r>
      <w:r w:rsidR="008D3412">
        <w:rPr>
          <w:rFonts w:ascii="Times New Roman" w:hAnsi="Times New Roman" w:cs="Times New Roman"/>
          <w:sz w:val="24"/>
          <w:szCs w:val="24"/>
        </w:rPr>
        <w:t xml:space="preserve"> справок),</w:t>
      </w:r>
      <w:r w:rsidRPr="00775A02">
        <w:rPr>
          <w:rFonts w:ascii="Times New Roman" w:hAnsi="Times New Roman" w:cs="Times New Roman"/>
          <w:sz w:val="24"/>
          <w:szCs w:val="24"/>
        </w:rPr>
        <w:t xml:space="preserve"> </w:t>
      </w:r>
      <w:r w:rsidR="00B477CC" w:rsidRPr="00B477CC">
        <w:rPr>
          <w:rFonts w:ascii="Times New Roman" w:hAnsi="Times New Roman" w:cs="Times New Roman"/>
          <w:sz w:val="24"/>
          <w:szCs w:val="24"/>
        </w:rPr>
        <w:t>Департамент труда и занятости населения Ханты-Мансийского автономного округа – Югры</w:t>
      </w:r>
      <w:r w:rsidR="008D3412">
        <w:rPr>
          <w:rFonts w:ascii="Times New Roman" w:hAnsi="Times New Roman" w:cs="Times New Roman"/>
          <w:sz w:val="24"/>
          <w:szCs w:val="24"/>
        </w:rPr>
        <w:t xml:space="preserve"> – </w:t>
      </w:r>
      <w:r w:rsidR="008D3412" w:rsidRPr="00775A02">
        <w:rPr>
          <w:rFonts w:ascii="Times New Roman" w:hAnsi="Times New Roman" w:cs="Times New Roman"/>
          <w:sz w:val="24"/>
          <w:szCs w:val="24"/>
        </w:rPr>
        <w:t>0</w:t>
      </w:r>
      <w:r w:rsidR="00B477CC">
        <w:rPr>
          <w:rFonts w:ascii="Times New Roman" w:hAnsi="Times New Roman" w:cs="Times New Roman"/>
          <w:sz w:val="24"/>
          <w:szCs w:val="24"/>
        </w:rPr>
        <w:t>,</w:t>
      </w:r>
      <w:r w:rsidR="00715A54">
        <w:rPr>
          <w:rFonts w:ascii="Times New Roman" w:hAnsi="Times New Roman" w:cs="Times New Roman"/>
          <w:sz w:val="24"/>
          <w:szCs w:val="24"/>
        </w:rPr>
        <w:t>9</w:t>
      </w:r>
      <w:r w:rsidR="00B477CC">
        <w:rPr>
          <w:rFonts w:ascii="Times New Roman" w:hAnsi="Times New Roman" w:cs="Times New Roman"/>
          <w:sz w:val="24"/>
          <w:szCs w:val="24"/>
        </w:rPr>
        <w:t>0</w:t>
      </w:r>
      <w:r w:rsidR="00715A54">
        <w:rPr>
          <w:rFonts w:ascii="Times New Roman" w:hAnsi="Times New Roman" w:cs="Times New Roman"/>
          <w:sz w:val="24"/>
          <w:szCs w:val="24"/>
        </w:rPr>
        <w:t xml:space="preserve"> </w:t>
      </w:r>
      <w:r w:rsidR="00715A54" w:rsidRPr="00DA6E6C">
        <w:rPr>
          <w:rFonts w:ascii="Times New Roman" w:hAnsi="Times New Roman" w:cs="Times New Roman"/>
          <w:sz w:val="24"/>
          <w:szCs w:val="24"/>
        </w:rPr>
        <w:t>балла</w:t>
      </w:r>
      <w:r w:rsidR="00B477CC" w:rsidRPr="00DA6E6C">
        <w:rPr>
          <w:rFonts w:ascii="Times New Roman" w:hAnsi="Times New Roman" w:cs="Times New Roman"/>
          <w:sz w:val="24"/>
          <w:szCs w:val="24"/>
        </w:rPr>
        <w:t xml:space="preserve"> (24</w:t>
      </w:r>
      <w:r w:rsidR="00715A54" w:rsidRPr="00DA6E6C">
        <w:rPr>
          <w:rFonts w:ascii="Times New Roman" w:hAnsi="Times New Roman" w:cs="Times New Roman"/>
          <w:sz w:val="24"/>
          <w:szCs w:val="24"/>
        </w:rPr>
        <w:t xml:space="preserve"> справки</w:t>
      </w:r>
      <w:r w:rsidR="008D3412" w:rsidRPr="00DA6E6C">
        <w:rPr>
          <w:rFonts w:ascii="Times New Roman" w:hAnsi="Times New Roman" w:cs="Times New Roman"/>
          <w:sz w:val="24"/>
          <w:szCs w:val="24"/>
        </w:rPr>
        <w:t>)</w:t>
      </w:r>
      <w:r w:rsidR="00FE1C7F" w:rsidRPr="00DA6E6C">
        <w:rPr>
          <w:rFonts w:ascii="Times New Roman" w:hAnsi="Times New Roman" w:cs="Times New Roman"/>
          <w:sz w:val="24"/>
          <w:szCs w:val="24"/>
        </w:rPr>
        <w:t>.</w:t>
      </w:r>
      <w:r w:rsidR="00035860" w:rsidRPr="00DA6E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864" w:rsidRDefault="008A4864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E6C">
        <w:rPr>
          <w:rFonts w:ascii="Times New Roman" w:hAnsi="Times New Roman" w:cs="Times New Roman"/>
          <w:sz w:val="24"/>
          <w:szCs w:val="24"/>
        </w:rPr>
        <w:t>При расчете показателя за 2020 год справки с кодами вида изменений 02070, 02130 за счет перераспределения ассигнований внутри ГРБС на реализацию мероприятий, направленных на профилактику и устранение последствий распространения коронавирусной инфекции, не учитывались.</w:t>
      </w:r>
    </w:p>
    <w:p w:rsidR="0094095B" w:rsidRDefault="00575CFC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Наименьшее количество</w:t>
      </w:r>
      <w:r w:rsidR="00035860">
        <w:rPr>
          <w:rFonts w:ascii="Times New Roman" w:hAnsi="Times New Roman" w:cs="Times New Roman"/>
          <w:sz w:val="24"/>
          <w:szCs w:val="24"/>
        </w:rPr>
        <w:t xml:space="preserve"> справок </w:t>
      </w:r>
      <w:r w:rsidR="00825F83">
        <w:rPr>
          <w:rFonts w:ascii="Times New Roman" w:hAnsi="Times New Roman" w:cs="Times New Roman"/>
          <w:sz w:val="24"/>
          <w:szCs w:val="24"/>
        </w:rPr>
        <w:t>оформлено</w:t>
      </w:r>
      <w:r w:rsidR="00133937">
        <w:rPr>
          <w:rFonts w:ascii="Times New Roman" w:hAnsi="Times New Roman" w:cs="Times New Roman"/>
          <w:sz w:val="24"/>
          <w:szCs w:val="24"/>
        </w:rPr>
        <w:t xml:space="preserve"> </w:t>
      </w:r>
      <w:r w:rsidR="00715A54">
        <w:rPr>
          <w:rFonts w:ascii="Times New Roman" w:hAnsi="Times New Roman" w:cs="Times New Roman"/>
          <w:sz w:val="24"/>
          <w:szCs w:val="24"/>
        </w:rPr>
        <w:t>у</w:t>
      </w:r>
      <w:r w:rsidR="008D3412">
        <w:rPr>
          <w:rFonts w:ascii="Times New Roman" w:hAnsi="Times New Roman" w:cs="Times New Roman"/>
          <w:sz w:val="24"/>
          <w:szCs w:val="24"/>
        </w:rPr>
        <w:t xml:space="preserve"> </w:t>
      </w:r>
      <w:r w:rsidR="00B477CC">
        <w:rPr>
          <w:rFonts w:ascii="Times New Roman" w:hAnsi="Times New Roman" w:cs="Times New Roman"/>
          <w:sz w:val="24"/>
          <w:szCs w:val="24"/>
        </w:rPr>
        <w:t>Избирательной</w:t>
      </w:r>
      <w:r w:rsidR="00B477CC" w:rsidRPr="00B477CC">
        <w:rPr>
          <w:rFonts w:ascii="Times New Roman" w:hAnsi="Times New Roman" w:cs="Times New Roman"/>
          <w:sz w:val="24"/>
          <w:szCs w:val="24"/>
        </w:rPr>
        <w:t xml:space="preserve"> комисси</w:t>
      </w:r>
      <w:r w:rsidR="00B477CC">
        <w:rPr>
          <w:rFonts w:ascii="Times New Roman" w:hAnsi="Times New Roman" w:cs="Times New Roman"/>
          <w:sz w:val="24"/>
          <w:szCs w:val="24"/>
        </w:rPr>
        <w:t>и</w:t>
      </w:r>
      <w:r w:rsidR="00B477CC" w:rsidRPr="00B477CC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– Югры</w:t>
      </w:r>
      <w:r w:rsidR="00B477CC">
        <w:rPr>
          <w:rFonts w:ascii="Times New Roman" w:hAnsi="Times New Roman" w:cs="Times New Roman"/>
          <w:sz w:val="24"/>
          <w:szCs w:val="24"/>
        </w:rPr>
        <w:t xml:space="preserve"> и Службы</w:t>
      </w:r>
      <w:r w:rsidR="00B477CC" w:rsidRPr="00B477CC">
        <w:rPr>
          <w:rFonts w:ascii="Times New Roman" w:hAnsi="Times New Roman" w:cs="Times New Roman"/>
          <w:sz w:val="24"/>
          <w:szCs w:val="24"/>
        </w:rPr>
        <w:t xml:space="preserve"> по контролю и надзору в сфере здравоохранения Ханты-Мансийского автономного округа – Югры</w:t>
      </w:r>
      <w:r w:rsidR="0094095B">
        <w:rPr>
          <w:rFonts w:ascii="Times New Roman" w:hAnsi="Times New Roman" w:cs="Times New Roman"/>
          <w:sz w:val="24"/>
          <w:szCs w:val="24"/>
        </w:rPr>
        <w:t xml:space="preserve"> – 1 справка (0,99 балла).</w:t>
      </w:r>
      <w:r w:rsidR="008D3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5F63" w:rsidRDefault="00F72BD0" w:rsidP="003E5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2020</w:t>
      </w:r>
      <w:r w:rsidR="00B8558D" w:rsidRPr="00FC7256">
        <w:rPr>
          <w:rFonts w:ascii="Times New Roman" w:hAnsi="Times New Roman" w:cs="Times New Roman"/>
          <w:sz w:val="24"/>
          <w:szCs w:val="24"/>
        </w:rPr>
        <w:t xml:space="preserve"> года ни у одного ГРБС</w:t>
      </w:r>
      <w:r w:rsidR="00A23237" w:rsidRPr="00FC7256">
        <w:rPr>
          <w:rFonts w:ascii="Times New Roman" w:hAnsi="Times New Roman" w:cs="Times New Roman"/>
          <w:sz w:val="24"/>
          <w:szCs w:val="24"/>
        </w:rPr>
        <w:t xml:space="preserve"> доля суммы положительных изменений годового объёма бюджетных ассигнований по соответствующим кодам видов расходов классификации расходов бюджета в общем объёме бюдже</w:t>
      </w:r>
      <w:r w:rsidR="0094095B" w:rsidRPr="00FC7256">
        <w:rPr>
          <w:rFonts w:ascii="Times New Roman" w:hAnsi="Times New Roman" w:cs="Times New Roman"/>
          <w:sz w:val="24"/>
          <w:szCs w:val="24"/>
        </w:rPr>
        <w:t xml:space="preserve">тных ассигнований </w:t>
      </w:r>
      <w:r w:rsidR="00B8558D" w:rsidRPr="00FC7256">
        <w:rPr>
          <w:rFonts w:ascii="Times New Roman" w:hAnsi="Times New Roman" w:cs="Times New Roman"/>
          <w:sz w:val="24"/>
          <w:szCs w:val="24"/>
        </w:rPr>
        <w:t xml:space="preserve">не превысила 15 %, </w:t>
      </w:r>
      <w:r w:rsidR="00FC7256" w:rsidRPr="00FC7256">
        <w:rPr>
          <w:rFonts w:ascii="Times New Roman" w:hAnsi="Times New Roman" w:cs="Times New Roman"/>
          <w:sz w:val="24"/>
          <w:szCs w:val="24"/>
        </w:rPr>
        <w:t>соответственно по всем ГРБС оценка показателя сложилась выше 0</w:t>
      </w:r>
      <w:r w:rsidR="003E5F63" w:rsidRPr="00FC7256">
        <w:rPr>
          <w:rFonts w:ascii="Times New Roman" w:hAnsi="Times New Roman" w:cs="Times New Roman"/>
          <w:sz w:val="24"/>
          <w:szCs w:val="24"/>
        </w:rPr>
        <w:t>.</w:t>
      </w:r>
      <w:r w:rsidR="00305E10">
        <w:rPr>
          <w:rFonts w:ascii="Times New Roman" w:hAnsi="Times New Roman" w:cs="Times New Roman"/>
          <w:sz w:val="24"/>
          <w:szCs w:val="24"/>
        </w:rPr>
        <w:t xml:space="preserve"> </w:t>
      </w:r>
      <w:r w:rsidR="00A45C17" w:rsidRPr="00A45C17">
        <w:rPr>
          <w:rFonts w:ascii="Times New Roman" w:hAnsi="Times New Roman" w:cs="Times New Roman"/>
          <w:sz w:val="24"/>
          <w:szCs w:val="24"/>
        </w:rPr>
        <w:t>Наи</w:t>
      </w:r>
      <w:r w:rsidR="00A45C17">
        <w:rPr>
          <w:rFonts w:ascii="Times New Roman" w:hAnsi="Times New Roman" w:cs="Times New Roman"/>
          <w:sz w:val="24"/>
          <w:szCs w:val="24"/>
        </w:rPr>
        <w:t>мень</w:t>
      </w:r>
      <w:r w:rsidR="00A45C17" w:rsidRPr="00A45C17">
        <w:rPr>
          <w:rFonts w:ascii="Times New Roman" w:hAnsi="Times New Roman" w:cs="Times New Roman"/>
          <w:sz w:val="24"/>
          <w:szCs w:val="24"/>
        </w:rPr>
        <w:t xml:space="preserve">шая доля суммы положительных изменений </w:t>
      </w:r>
      <w:r w:rsidR="00A45C17">
        <w:rPr>
          <w:rFonts w:ascii="Times New Roman" w:hAnsi="Times New Roman" w:cs="Times New Roman"/>
          <w:sz w:val="24"/>
          <w:szCs w:val="24"/>
        </w:rPr>
        <w:t xml:space="preserve">у </w:t>
      </w:r>
      <w:r w:rsidR="00A45C17" w:rsidRPr="00A45C17">
        <w:rPr>
          <w:rFonts w:ascii="Times New Roman" w:hAnsi="Times New Roman" w:cs="Times New Roman"/>
          <w:sz w:val="24"/>
          <w:szCs w:val="24"/>
        </w:rPr>
        <w:t>Департамент</w:t>
      </w:r>
      <w:r w:rsidR="00A45C17">
        <w:rPr>
          <w:rFonts w:ascii="Times New Roman" w:hAnsi="Times New Roman" w:cs="Times New Roman"/>
          <w:sz w:val="24"/>
          <w:szCs w:val="24"/>
        </w:rPr>
        <w:t>а</w:t>
      </w:r>
      <w:r w:rsidR="00A45C17" w:rsidRPr="00A45C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финансов </w:t>
      </w:r>
      <w:r w:rsidR="00FC7256" w:rsidRPr="00FC7256">
        <w:rPr>
          <w:rFonts w:ascii="Times New Roman" w:hAnsi="Times New Roman" w:cs="Times New Roman"/>
          <w:sz w:val="24"/>
          <w:szCs w:val="24"/>
        </w:rPr>
        <w:t xml:space="preserve">Ханты-Мансийского автономного округа – Югры </w:t>
      </w:r>
      <w:r w:rsidR="00A45C17">
        <w:rPr>
          <w:rFonts w:ascii="Times New Roman" w:hAnsi="Times New Roman" w:cs="Times New Roman"/>
          <w:sz w:val="24"/>
          <w:szCs w:val="24"/>
        </w:rPr>
        <w:t>(0,0</w:t>
      </w:r>
      <w:r w:rsidR="00FC725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="00B76671">
        <w:rPr>
          <w:rFonts w:ascii="Times New Roman" w:hAnsi="Times New Roman" w:cs="Times New Roman"/>
          <w:sz w:val="24"/>
          <w:szCs w:val="24"/>
        </w:rPr>
        <w:t xml:space="preserve"> </w:t>
      </w:r>
      <w:r w:rsidR="008562CF">
        <w:rPr>
          <w:rFonts w:ascii="Times New Roman" w:hAnsi="Times New Roman" w:cs="Times New Roman"/>
          <w:sz w:val="24"/>
          <w:szCs w:val="24"/>
        </w:rPr>
        <w:t>%</w:t>
      </w:r>
      <w:r w:rsidR="00A45C17">
        <w:rPr>
          <w:rFonts w:ascii="Times New Roman" w:hAnsi="Times New Roman" w:cs="Times New Roman"/>
          <w:sz w:val="24"/>
          <w:szCs w:val="24"/>
        </w:rPr>
        <w:t>)</w:t>
      </w:r>
      <w:r w:rsidR="00D25F4E">
        <w:rPr>
          <w:rFonts w:ascii="Times New Roman" w:hAnsi="Times New Roman" w:cs="Times New Roman"/>
          <w:sz w:val="24"/>
          <w:szCs w:val="24"/>
        </w:rPr>
        <w:t>, у нег</w:t>
      </w:r>
      <w:r w:rsidR="00826EA2">
        <w:rPr>
          <w:rFonts w:ascii="Times New Roman" w:hAnsi="Times New Roman" w:cs="Times New Roman"/>
          <w:sz w:val="24"/>
          <w:szCs w:val="24"/>
        </w:rPr>
        <w:t>о оценка пок</w:t>
      </w:r>
      <w:r w:rsidR="008562CF">
        <w:rPr>
          <w:rFonts w:ascii="Times New Roman" w:hAnsi="Times New Roman" w:cs="Times New Roman"/>
          <w:sz w:val="24"/>
          <w:szCs w:val="24"/>
        </w:rPr>
        <w:t>азателя равна 0,999</w:t>
      </w:r>
      <w:r w:rsidR="00D26266">
        <w:rPr>
          <w:rFonts w:ascii="Times New Roman" w:hAnsi="Times New Roman" w:cs="Times New Roman"/>
          <w:sz w:val="24"/>
          <w:szCs w:val="24"/>
        </w:rPr>
        <w:t>8</w:t>
      </w:r>
      <w:r w:rsidR="00B76671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D25F4E">
        <w:rPr>
          <w:rFonts w:ascii="Times New Roman" w:hAnsi="Times New Roman" w:cs="Times New Roman"/>
          <w:sz w:val="24"/>
          <w:szCs w:val="24"/>
        </w:rPr>
        <w:t>.</w:t>
      </w:r>
    </w:p>
    <w:p w:rsidR="00D211A5" w:rsidRDefault="003E5F63" w:rsidP="00C230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07F">
        <w:rPr>
          <w:rFonts w:ascii="Times New Roman" w:hAnsi="Times New Roman" w:cs="Times New Roman"/>
          <w:sz w:val="24"/>
          <w:szCs w:val="24"/>
        </w:rPr>
        <w:lastRenderedPageBreak/>
        <w:t>В качестве критериев оценки качества правовых</w:t>
      </w:r>
      <w:r w:rsidR="00E4512E" w:rsidRPr="00C2307F">
        <w:rPr>
          <w:rFonts w:ascii="Times New Roman" w:hAnsi="Times New Roman" w:cs="Times New Roman"/>
          <w:sz w:val="24"/>
          <w:szCs w:val="24"/>
        </w:rPr>
        <w:t xml:space="preserve"> актов ГРБС, </w:t>
      </w:r>
      <w:r w:rsidR="00A23237" w:rsidRPr="00C2307F">
        <w:rPr>
          <w:rFonts w:ascii="Times New Roman" w:hAnsi="Times New Roman" w:cs="Times New Roman"/>
          <w:sz w:val="24"/>
          <w:szCs w:val="24"/>
        </w:rPr>
        <w:t>применяемы</w:t>
      </w:r>
      <w:r w:rsidRPr="00C2307F">
        <w:rPr>
          <w:rFonts w:ascii="Times New Roman" w:hAnsi="Times New Roman" w:cs="Times New Roman"/>
          <w:sz w:val="24"/>
          <w:szCs w:val="24"/>
        </w:rPr>
        <w:t>х пр</w:t>
      </w:r>
      <w:r w:rsidR="00A23237" w:rsidRPr="00C2307F">
        <w:rPr>
          <w:rFonts w:ascii="Times New Roman" w:hAnsi="Times New Roman" w:cs="Times New Roman"/>
          <w:sz w:val="24"/>
          <w:szCs w:val="24"/>
        </w:rPr>
        <w:t>и</w:t>
      </w:r>
      <w:r w:rsidRPr="00C2307F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A23237" w:rsidRPr="00C2307F">
        <w:rPr>
          <w:rFonts w:ascii="Times New Roman" w:hAnsi="Times New Roman" w:cs="Times New Roman"/>
          <w:sz w:val="24"/>
          <w:szCs w:val="24"/>
        </w:rPr>
        <w:t>е</w:t>
      </w:r>
      <w:r w:rsidRPr="00C2307F">
        <w:rPr>
          <w:rFonts w:ascii="Times New Roman" w:hAnsi="Times New Roman" w:cs="Times New Roman"/>
          <w:sz w:val="24"/>
          <w:szCs w:val="24"/>
        </w:rPr>
        <w:t xml:space="preserve"> бюджетных проектировок на </w:t>
      </w:r>
      <w:r w:rsidR="00FC7256">
        <w:rPr>
          <w:rFonts w:ascii="Times New Roman" w:hAnsi="Times New Roman" w:cs="Times New Roman"/>
          <w:sz w:val="24"/>
          <w:szCs w:val="24"/>
        </w:rPr>
        <w:t>2020</w:t>
      </w:r>
      <w:r w:rsidRPr="00C2307F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B76671">
        <w:rPr>
          <w:rFonts w:ascii="Times New Roman" w:hAnsi="Times New Roman" w:cs="Times New Roman"/>
          <w:sz w:val="24"/>
          <w:szCs w:val="24"/>
        </w:rPr>
        <w:t xml:space="preserve">на </w:t>
      </w:r>
      <w:r w:rsidRPr="00C2307F">
        <w:rPr>
          <w:rFonts w:ascii="Times New Roman" w:hAnsi="Times New Roman" w:cs="Times New Roman"/>
          <w:sz w:val="24"/>
          <w:szCs w:val="24"/>
        </w:rPr>
        <w:t>плановый период</w:t>
      </w:r>
      <w:r w:rsidR="00FC7256">
        <w:rPr>
          <w:rFonts w:ascii="Times New Roman" w:hAnsi="Times New Roman" w:cs="Times New Roman"/>
          <w:sz w:val="24"/>
          <w:szCs w:val="24"/>
        </w:rPr>
        <w:t xml:space="preserve"> 2021 и 2022</w:t>
      </w:r>
      <w:r w:rsidR="00B76671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C2307F">
        <w:rPr>
          <w:rFonts w:ascii="Times New Roman" w:hAnsi="Times New Roman" w:cs="Times New Roman"/>
          <w:sz w:val="24"/>
          <w:szCs w:val="24"/>
        </w:rPr>
        <w:t>, использовались требования к</w:t>
      </w:r>
      <w:r w:rsidR="00C2307F">
        <w:rPr>
          <w:rFonts w:ascii="Times New Roman" w:hAnsi="Times New Roman" w:cs="Times New Roman"/>
          <w:sz w:val="24"/>
          <w:szCs w:val="24"/>
        </w:rPr>
        <w:t xml:space="preserve"> </w:t>
      </w:r>
      <w:r w:rsidR="002E1DD6">
        <w:rPr>
          <w:rFonts w:ascii="Times New Roman" w:hAnsi="Times New Roman" w:cs="Times New Roman"/>
          <w:sz w:val="24"/>
          <w:szCs w:val="24"/>
        </w:rPr>
        <w:t>наличию</w:t>
      </w:r>
      <w:r w:rsidRPr="00C2307F">
        <w:rPr>
          <w:rFonts w:ascii="Times New Roman" w:hAnsi="Times New Roman" w:cs="Times New Roman"/>
          <w:sz w:val="24"/>
          <w:szCs w:val="24"/>
        </w:rPr>
        <w:t xml:space="preserve">: </w:t>
      </w:r>
      <w:r w:rsidR="00C2307F">
        <w:rPr>
          <w:rFonts w:ascii="Times New Roman" w:hAnsi="Times New Roman" w:cs="Times New Roman"/>
          <w:sz w:val="24"/>
          <w:szCs w:val="24"/>
        </w:rPr>
        <w:t>порядка</w:t>
      </w:r>
      <w:r w:rsidRPr="00C2307F">
        <w:rPr>
          <w:rFonts w:ascii="Times New Roman" w:hAnsi="Times New Roman" w:cs="Times New Roman"/>
          <w:sz w:val="24"/>
          <w:szCs w:val="24"/>
        </w:rPr>
        <w:t xml:space="preserve"> подготовки реестра расходных обязательств</w:t>
      </w:r>
      <w:r w:rsidR="00C2307F">
        <w:rPr>
          <w:rFonts w:ascii="Times New Roman" w:hAnsi="Times New Roman" w:cs="Times New Roman"/>
          <w:sz w:val="24"/>
          <w:szCs w:val="24"/>
        </w:rPr>
        <w:t>;</w:t>
      </w:r>
      <w:r w:rsidRPr="00C2307F">
        <w:rPr>
          <w:rFonts w:ascii="Times New Roman" w:hAnsi="Times New Roman" w:cs="Times New Roman"/>
          <w:sz w:val="24"/>
          <w:szCs w:val="24"/>
        </w:rPr>
        <w:t xml:space="preserve"> </w:t>
      </w:r>
      <w:r w:rsidR="00C2307F" w:rsidRPr="00C2307F">
        <w:rPr>
          <w:rFonts w:ascii="Times New Roman" w:hAnsi="Times New Roman" w:cs="Times New Roman"/>
          <w:sz w:val="24"/>
          <w:szCs w:val="24"/>
        </w:rPr>
        <w:t>значения нормативных затрат на оказание услуг (выполнение работ); базовых нормативов затрат на оказание государственных услуг; отраслевых корректирующих коэффициентов к базовым нормативам затрат на оказание государственных услуг; территориальных корректирующих коэффициентов к базовым нормативам затрат на оказание государственных услуг</w:t>
      </w:r>
      <w:r w:rsidR="00E4512E" w:rsidRPr="00C2307F">
        <w:rPr>
          <w:rFonts w:ascii="Times New Roman" w:hAnsi="Times New Roman" w:cs="Times New Roman"/>
          <w:sz w:val="24"/>
          <w:szCs w:val="24"/>
        </w:rPr>
        <w:t>.</w:t>
      </w:r>
    </w:p>
    <w:p w:rsidR="009E7A65" w:rsidRDefault="009E7A65" w:rsidP="009E7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F63">
        <w:rPr>
          <w:rFonts w:ascii="Times New Roman" w:hAnsi="Times New Roman" w:cs="Times New Roman"/>
          <w:sz w:val="24"/>
          <w:szCs w:val="24"/>
        </w:rPr>
        <w:t xml:space="preserve">При проведении Мониторинга </w:t>
      </w:r>
      <w:r>
        <w:rPr>
          <w:rFonts w:ascii="Times New Roman" w:hAnsi="Times New Roman" w:cs="Times New Roman"/>
          <w:sz w:val="24"/>
          <w:szCs w:val="24"/>
        </w:rPr>
        <w:t>также учиты</w:t>
      </w:r>
      <w:r w:rsidRPr="003E5F63">
        <w:rPr>
          <w:rFonts w:ascii="Times New Roman" w:hAnsi="Times New Roman" w:cs="Times New Roman"/>
          <w:sz w:val="24"/>
          <w:szCs w:val="24"/>
        </w:rPr>
        <w:t xml:space="preserve">вались сведения о </w:t>
      </w:r>
      <w:r>
        <w:rPr>
          <w:rFonts w:ascii="Times New Roman" w:hAnsi="Times New Roman" w:cs="Times New Roman"/>
          <w:sz w:val="24"/>
          <w:szCs w:val="24"/>
        </w:rPr>
        <w:t xml:space="preserve">сроке </w:t>
      </w:r>
      <w:r w:rsidRPr="00000576">
        <w:rPr>
          <w:rFonts w:ascii="Times New Roman" w:hAnsi="Times New Roman" w:cs="Times New Roman"/>
          <w:sz w:val="24"/>
          <w:szCs w:val="24"/>
        </w:rPr>
        <w:t>представлени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00576">
        <w:rPr>
          <w:rFonts w:ascii="Times New Roman" w:hAnsi="Times New Roman" w:cs="Times New Roman"/>
          <w:sz w:val="24"/>
          <w:szCs w:val="24"/>
        </w:rPr>
        <w:t xml:space="preserve"> ГРБС документов в Департамент финансов </w:t>
      </w:r>
      <w:r w:rsidRPr="00D25F4E">
        <w:rPr>
          <w:rFonts w:ascii="Times New Roman" w:hAnsi="Times New Roman" w:cs="Times New Roman"/>
          <w:sz w:val="24"/>
          <w:szCs w:val="24"/>
        </w:rPr>
        <w:t xml:space="preserve">автономного округа </w:t>
      </w:r>
      <w:r w:rsidRPr="00000576">
        <w:rPr>
          <w:rFonts w:ascii="Times New Roman" w:hAnsi="Times New Roman" w:cs="Times New Roman"/>
          <w:sz w:val="24"/>
          <w:szCs w:val="24"/>
        </w:rPr>
        <w:t xml:space="preserve">в соответствии с графиком подготовки и рассмотрения документов и материалов, разрабатываемых при составлении проекта бюджета автономного округа на </w:t>
      </w:r>
      <w:r w:rsidR="00FC7256">
        <w:rPr>
          <w:rFonts w:ascii="Times New Roman" w:hAnsi="Times New Roman" w:cs="Times New Roman"/>
          <w:sz w:val="24"/>
          <w:szCs w:val="24"/>
        </w:rPr>
        <w:t>202</w:t>
      </w:r>
      <w:r w:rsidR="00FE6438">
        <w:rPr>
          <w:rFonts w:ascii="Times New Roman" w:hAnsi="Times New Roman" w:cs="Times New Roman"/>
          <w:sz w:val="24"/>
          <w:szCs w:val="24"/>
        </w:rPr>
        <w:t>1</w:t>
      </w:r>
      <w:r w:rsidRPr="00000576">
        <w:rPr>
          <w:rFonts w:ascii="Times New Roman" w:hAnsi="Times New Roman" w:cs="Times New Roman"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000576">
        <w:rPr>
          <w:rFonts w:ascii="Times New Roman" w:hAnsi="Times New Roman" w:cs="Times New Roman"/>
          <w:sz w:val="24"/>
          <w:szCs w:val="24"/>
        </w:rPr>
        <w:t>плановый период</w:t>
      </w:r>
      <w:r w:rsidR="00FC7256">
        <w:rPr>
          <w:rFonts w:ascii="Times New Roman" w:hAnsi="Times New Roman" w:cs="Times New Roman"/>
          <w:sz w:val="24"/>
          <w:szCs w:val="24"/>
        </w:rPr>
        <w:t xml:space="preserve"> 202</w:t>
      </w:r>
      <w:r w:rsidR="00FE6438">
        <w:rPr>
          <w:rFonts w:ascii="Times New Roman" w:hAnsi="Times New Roman" w:cs="Times New Roman"/>
          <w:sz w:val="24"/>
          <w:szCs w:val="24"/>
        </w:rPr>
        <w:t>2</w:t>
      </w:r>
      <w:r w:rsidR="00FC7256">
        <w:rPr>
          <w:rFonts w:ascii="Times New Roman" w:hAnsi="Times New Roman" w:cs="Times New Roman"/>
          <w:sz w:val="24"/>
          <w:szCs w:val="24"/>
        </w:rPr>
        <w:t xml:space="preserve"> и 202</w:t>
      </w:r>
      <w:r w:rsidR="00FE643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000576">
        <w:rPr>
          <w:rFonts w:ascii="Times New Roman" w:hAnsi="Times New Roman" w:cs="Times New Roman"/>
          <w:sz w:val="24"/>
          <w:szCs w:val="24"/>
        </w:rPr>
        <w:t>.</w:t>
      </w:r>
    </w:p>
    <w:p w:rsidR="00135F37" w:rsidRDefault="00135F37" w:rsidP="00135F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ГРБС</w:t>
      </w:r>
      <w:r w:rsidR="0031742A">
        <w:rPr>
          <w:rFonts w:ascii="Times New Roman" w:hAnsi="Times New Roman" w:cs="Times New Roman"/>
          <w:sz w:val="24"/>
          <w:szCs w:val="24"/>
        </w:rPr>
        <w:t xml:space="preserve"> представили </w:t>
      </w:r>
      <w:r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31742A">
        <w:rPr>
          <w:rFonts w:ascii="Times New Roman" w:hAnsi="Times New Roman" w:cs="Times New Roman"/>
          <w:sz w:val="24"/>
          <w:szCs w:val="24"/>
        </w:rPr>
        <w:t>в полном объеме и в установленный срок</w:t>
      </w:r>
      <w:r>
        <w:rPr>
          <w:rFonts w:ascii="Times New Roman" w:hAnsi="Times New Roman" w:cs="Times New Roman"/>
          <w:sz w:val="24"/>
          <w:szCs w:val="24"/>
        </w:rPr>
        <w:t>, получив по 1 баллу. У остальных ГРБС оценка данного показателя ниже 1</w:t>
      </w:r>
      <w:r w:rsidR="00326019">
        <w:rPr>
          <w:rFonts w:ascii="Times New Roman" w:hAnsi="Times New Roman" w:cs="Times New Roman"/>
          <w:sz w:val="24"/>
          <w:szCs w:val="24"/>
        </w:rPr>
        <w:t xml:space="preserve"> балла.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019" w:rsidRDefault="0031742A" w:rsidP="0032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низкий показатель у</w:t>
      </w:r>
      <w:r w:rsidR="00DC56DF" w:rsidRPr="00AB7094">
        <w:rPr>
          <w:rFonts w:ascii="Times New Roman" w:hAnsi="Times New Roman" w:cs="Times New Roman"/>
          <w:sz w:val="24"/>
          <w:szCs w:val="24"/>
        </w:rPr>
        <w:t xml:space="preserve"> </w:t>
      </w:r>
      <w:r w:rsidR="00065DBB">
        <w:rPr>
          <w:rFonts w:ascii="Times New Roman" w:hAnsi="Times New Roman" w:cs="Times New Roman"/>
          <w:sz w:val="24"/>
          <w:szCs w:val="24"/>
        </w:rPr>
        <w:t>Думы</w:t>
      </w:r>
      <w:r w:rsidR="00065DBB" w:rsidRPr="00065DBB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– Югры </w:t>
      </w:r>
      <w:r w:rsidR="00065DBB">
        <w:rPr>
          <w:rFonts w:ascii="Times New Roman" w:hAnsi="Times New Roman" w:cs="Times New Roman"/>
          <w:sz w:val="24"/>
          <w:szCs w:val="24"/>
        </w:rPr>
        <w:t>– 0,5</w:t>
      </w:r>
      <w:r w:rsidR="00DC56DF" w:rsidRPr="00AB7094">
        <w:rPr>
          <w:rFonts w:ascii="Times New Roman" w:hAnsi="Times New Roman" w:cs="Times New Roman"/>
          <w:sz w:val="24"/>
          <w:szCs w:val="24"/>
        </w:rPr>
        <w:t xml:space="preserve"> балла,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AB7094" w:rsidRPr="00AB7094">
        <w:rPr>
          <w:rFonts w:ascii="Times New Roman" w:hAnsi="Times New Roman" w:cs="Times New Roman"/>
          <w:sz w:val="24"/>
          <w:szCs w:val="24"/>
        </w:rPr>
        <w:t xml:space="preserve"> </w:t>
      </w:r>
      <w:r w:rsidR="00065DBB">
        <w:rPr>
          <w:rFonts w:ascii="Times New Roman" w:hAnsi="Times New Roman" w:cs="Times New Roman"/>
          <w:sz w:val="24"/>
          <w:szCs w:val="24"/>
        </w:rPr>
        <w:t>Счетной палаты</w:t>
      </w:r>
      <w:r w:rsidR="00065DBB" w:rsidRPr="00065DBB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– Югры</w:t>
      </w:r>
      <w:r w:rsidR="00065DBB">
        <w:rPr>
          <w:rFonts w:ascii="Times New Roman" w:hAnsi="Times New Roman" w:cs="Times New Roman"/>
          <w:sz w:val="24"/>
          <w:szCs w:val="24"/>
        </w:rPr>
        <w:t xml:space="preserve"> и</w:t>
      </w:r>
      <w:r w:rsidR="00AB7094" w:rsidRPr="00AB7094">
        <w:rPr>
          <w:rFonts w:ascii="Times New Roman" w:hAnsi="Times New Roman" w:cs="Times New Roman"/>
          <w:sz w:val="24"/>
          <w:szCs w:val="24"/>
        </w:rPr>
        <w:t xml:space="preserve"> </w:t>
      </w:r>
      <w:r w:rsidR="00065DBB">
        <w:rPr>
          <w:rFonts w:ascii="Times New Roman" w:hAnsi="Times New Roman" w:cs="Times New Roman"/>
          <w:sz w:val="24"/>
          <w:szCs w:val="24"/>
        </w:rPr>
        <w:t>Службы</w:t>
      </w:r>
      <w:r w:rsidR="00065DBB" w:rsidRPr="00065DBB">
        <w:rPr>
          <w:rFonts w:ascii="Times New Roman" w:hAnsi="Times New Roman" w:cs="Times New Roman"/>
          <w:sz w:val="24"/>
          <w:szCs w:val="24"/>
        </w:rPr>
        <w:t xml:space="preserve"> по контролю и надзору в сфере образования Ханты-Мансийского автономного округа – Югры</w:t>
      </w:r>
      <w:r w:rsidR="00065DBB">
        <w:rPr>
          <w:rFonts w:ascii="Times New Roman" w:hAnsi="Times New Roman" w:cs="Times New Roman"/>
          <w:sz w:val="24"/>
          <w:szCs w:val="24"/>
        </w:rPr>
        <w:t xml:space="preserve"> </w:t>
      </w:r>
      <w:r w:rsidR="00065DBB" w:rsidRPr="00AB7094">
        <w:rPr>
          <w:rFonts w:ascii="Times New Roman" w:hAnsi="Times New Roman" w:cs="Times New Roman"/>
          <w:sz w:val="24"/>
          <w:szCs w:val="24"/>
        </w:rPr>
        <w:t>оц</w:t>
      </w:r>
      <w:r w:rsidR="00065DBB">
        <w:rPr>
          <w:rFonts w:ascii="Times New Roman" w:hAnsi="Times New Roman" w:cs="Times New Roman"/>
          <w:sz w:val="24"/>
          <w:szCs w:val="24"/>
        </w:rPr>
        <w:t>енка сложилась 0,60</w:t>
      </w:r>
      <w:r w:rsidR="00065DBB" w:rsidRPr="00AB7094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AB7094" w:rsidRPr="00AB7094">
        <w:rPr>
          <w:rFonts w:ascii="Times New Roman" w:hAnsi="Times New Roman" w:cs="Times New Roman"/>
          <w:sz w:val="24"/>
          <w:szCs w:val="24"/>
        </w:rPr>
        <w:t xml:space="preserve"> </w:t>
      </w:r>
      <w:r w:rsidR="00326019" w:rsidRPr="009164F7">
        <w:rPr>
          <w:rFonts w:ascii="Times New Roman" w:hAnsi="Times New Roman" w:cs="Times New Roman"/>
          <w:sz w:val="24"/>
          <w:szCs w:val="24"/>
        </w:rPr>
        <w:t>в связи с отсутствием в полном объеме необходимых документов</w:t>
      </w:r>
      <w:r w:rsidR="00326019">
        <w:rPr>
          <w:rFonts w:ascii="Times New Roman" w:hAnsi="Times New Roman" w:cs="Times New Roman"/>
          <w:sz w:val="24"/>
          <w:szCs w:val="24"/>
        </w:rPr>
        <w:t>, а также нарушением сроков представления документов и материалов.</w:t>
      </w:r>
    </w:p>
    <w:p w:rsidR="00113DED" w:rsidRDefault="00113DED" w:rsidP="0032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90B">
        <w:rPr>
          <w:rFonts w:ascii="Times New Roman" w:hAnsi="Times New Roman" w:cs="Times New Roman"/>
          <w:sz w:val="24"/>
          <w:szCs w:val="24"/>
          <w:u w:val="single"/>
        </w:rPr>
        <w:t>Средняя оценка</w:t>
      </w:r>
      <w:r w:rsidRPr="000C390B">
        <w:rPr>
          <w:rFonts w:ascii="Times New Roman" w:hAnsi="Times New Roman" w:cs="Times New Roman"/>
          <w:sz w:val="24"/>
          <w:szCs w:val="24"/>
        </w:rPr>
        <w:t xml:space="preserve"> мониторинга </w:t>
      </w:r>
      <w:r>
        <w:rPr>
          <w:rFonts w:ascii="Times New Roman" w:hAnsi="Times New Roman" w:cs="Times New Roman"/>
          <w:sz w:val="24"/>
          <w:szCs w:val="24"/>
        </w:rPr>
        <w:t xml:space="preserve">качества финансового менеджмента по группе показателей «Среднесрочное финансовое планирование» по 37 оцениваемым ГРБС </w:t>
      </w:r>
      <w:r w:rsidRPr="00942C5C">
        <w:rPr>
          <w:rFonts w:ascii="Times New Roman" w:hAnsi="Times New Roman" w:cs="Times New Roman"/>
          <w:sz w:val="24"/>
          <w:szCs w:val="24"/>
        </w:rPr>
        <w:t>с учетом удельного веса показателей данной группы</w:t>
      </w:r>
      <w:r>
        <w:rPr>
          <w:rFonts w:ascii="Times New Roman" w:hAnsi="Times New Roman" w:cs="Times New Roman"/>
          <w:sz w:val="24"/>
          <w:szCs w:val="24"/>
        </w:rPr>
        <w:t xml:space="preserve"> составляет 94,6 балла по 100-балльной шкале.</w:t>
      </w:r>
    </w:p>
    <w:p w:rsidR="00113DED" w:rsidRDefault="00113DED" w:rsidP="0032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B75BE2">
        <w:rPr>
          <w:rFonts w:ascii="Times New Roman" w:hAnsi="Times New Roman" w:cs="Times New Roman"/>
          <w:sz w:val="24"/>
          <w:szCs w:val="24"/>
        </w:rPr>
        <w:t xml:space="preserve"> ГРБС, или </w:t>
      </w:r>
      <w:r>
        <w:rPr>
          <w:rFonts w:ascii="Times New Roman" w:hAnsi="Times New Roman" w:cs="Times New Roman"/>
          <w:sz w:val="24"/>
          <w:szCs w:val="24"/>
        </w:rPr>
        <w:t>62,2</w:t>
      </w:r>
      <w:r w:rsidRPr="00B75BE2">
        <w:rPr>
          <w:rFonts w:ascii="Times New Roman" w:hAnsi="Times New Roman" w:cs="Times New Roman"/>
          <w:sz w:val="24"/>
          <w:szCs w:val="24"/>
        </w:rPr>
        <w:t> % от оцениваемого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B75BE2">
        <w:rPr>
          <w:rFonts w:ascii="Times New Roman" w:hAnsi="Times New Roman" w:cs="Times New Roman"/>
          <w:sz w:val="24"/>
          <w:szCs w:val="24"/>
        </w:rPr>
        <w:t xml:space="preserve"> количества, имеют оценки</w:t>
      </w:r>
      <w:r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по группе показателей «Среднесрочное финансовое планирование» выше </w:t>
      </w:r>
      <w:r w:rsidRPr="00477650">
        <w:rPr>
          <w:rFonts w:ascii="Times New Roman" w:hAnsi="Times New Roman" w:cs="Times New Roman"/>
          <w:sz w:val="24"/>
          <w:szCs w:val="24"/>
        </w:rPr>
        <w:t>средней оценки</w:t>
      </w:r>
      <w:r>
        <w:rPr>
          <w:rFonts w:ascii="Times New Roman" w:hAnsi="Times New Roman" w:cs="Times New Roman"/>
          <w:sz w:val="24"/>
          <w:szCs w:val="24"/>
        </w:rPr>
        <w:t>, у 14</w:t>
      </w:r>
      <w:r w:rsidRPr="004776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(37,8 %) </w:t>
      </w:r>
      <w:r w:rsidRPr="002F5CE8"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650">
        <w:rPr>
          <w:rFonts w:ascii="Times New Roman" w:hAnsi="Times New Roman" w:cs="Times New Roman"/>
          <w:sz w:val="24"/>
          <w:szCs w:val="24"/>
        </w:rPr>
        <w:t>индивидуальный балл ниже среднего.</w:t>
      </w:r>
    </w:p>
    <w:p w:rsidR="00FB191B" w:rsidRDefault="00FB191B" w:rsidP="005C78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191B" w:rsidRDefault="00FB191B" w:rsidP="005C78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928" w:rsidRDefault="00580928" w:rsidP="005C78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928" w:rsidRDefault="00580928" w:rsidP="005C78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928" w:rsidRDefault="00580928" w:rsidP="005C78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26266" w:rsidRDefault="00D26266" w:rsidP="005C78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266" w:rsidRDefault="00D26266" w:rsidP="005C78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650D" w:rsidRDefault="00C74785" w:rsidP="005C789B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A25C0">
        <w:rPr>
          <w:rFonts w:ascii="Times New Roman" w:hAnsi="Times New Roman" w:cs="Times New Roman"/>
          <w:b/>
          <w:sz w:val="28"/>
          <w:szCs w:val="28"/>
        </w:rPr>
        <w:lastRenderedPageBreak/>
        <w:t>Среднесрочное финансовое планирование</w:t>
      </w:r>
    </w:p>
    <w:p w:rsidR="00C01A25" w:rsidRDefault="005D023B" w:rsidP="00494063">
      <w:pPr>
        <w:spacing w:after="0" w:line="360" w:lineRule="auto"/>
        <w:ind w:left="-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6793BBC7" wp14:editId="67E9285E">
            <wp:extent cx="6854024" cy="4841875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13DED" w:rsidRDefault="00113DED" w:rsidP="005C16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390B" w:rsidRPr="0038089E" w:rsidRDefault="000C390B" w:rsidP="005C16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89E">
        <w:rPr>
          <w:rFonts w:ascii="Times New Roman" w:hAnsi="Times New Roman" w:cs="Times New Roman"/>
          <w:sz w:val="24"/>
          <w:szCs w:val="24"/>
        </w:rPr>
        <w:t>Наилучшие оценки качества среднесрочного финансового планирования</w:t>
      </w:r>
      <w:r w:rsidR="0038089E" w:rsidRPr="0038089E">
        <w:rPr>
          <w:rFonts w:ascii="Times New Roman" w:hAnsi="Times New Roman" w:cs="Times New Roman"/>
          <w:sz w:val="24"/>
          <w:szCs w:val="24"/>
        </w:rPr>
        <w:t xml:space="preserve"> </w:t>
      </w:r>
      <w:r w:rsidRPr="0038089E">
        <w:rPr>
          <w:rFonts w:ascii="Times New Roman" w:hAnsi="Times New Roman" w:cs="Times New Roman"/>
          <w:sz w:val="24"/>
          <w:szCs w:val="24"/>
        </w:rPr>
        <w:t xml:space="preserve">имеют </w:t>
      </w:r>
      <w:r w:rsidRPr="0038089E">
        <w:rPr>
          <w:rFonts w:ascii="Times New Roman" w:eastAsia="Times New Roman" w:hAnsi="Times New Roman" w:cs="Times New Roman"/>
          <w:sz w:val="24"/>
          <w:szCs w:val="24"/>
        </w:rPr>
        <w:t>следующие ГРБС:</w:t>
      </w:r>
    </w:p>
    <w:p w:rsidR="003D650D" w:rsidRDefault="002E025D" w:rsidP="002E025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E025D">
        <w:t xml:space="preserve">Департамент жилищно-коммунального комплекса и энергетики Ханты-Мансийского автономного округа – Югры </w:t>
      </w:r>
      <w:r w:rsidR="002515FA">
        <w:t>(</w:t>
      </w:r>
      <w:r w:rsidR="005C3F6F">
        <w:t>99,7</w:t>
      </w:r>
      <w:r>
        <w:t xml:space="preserve"> </w:t>
      </w:r>
      <w:r w:rsidR="005C3F6F">
        <w:t>балла</w:t>
      </w:r>
      <w:r w:rsidR="003D650D" w:rsidRPr="00CD63E4">
        <w:t>);</w:t>
      </w:r>
    </w:p>
    <w:p w:rsidR="002E025D" w:rsidRPr="00CD63E4" w:rsidRDefault="005C3F6F" w:rsidP="005C3F6F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5C3F6F">
        <w:t>Служба по контролю и надзору в сфере здравоохранения Ханты-Мансийского автономного округа – Югры</w:t>
      </w:r>
      <w:r w:rsidR="002E025D">
        <w:t xml:space="preserve"> (</w:t>
      </w:r>
      <w:r>
        <w:t>99,7 балла</w:t>
      </w:r>
      <w:r w:rsidR="002E025D">
        <w:t>);</w:t>
      </w:r>
    </w:p>
    <w:p w:rsidR="003D650D" w:rsidRPr="00CD63E4" w:rsidRDefault="002515FA" w:rsidP="002E025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515FA">
        <w:t xml:space="preserve">Департамент </w:t>
      </w:r>
      <w:r w:rsidR="002E025D" w:rsidRPr="002E025D">
        <w:t xml:space="preserve">проектного управления </w:t>
      </w:r>
      <w:r w:rsidRPr="002515FA">
        <w:t>Ханты-Мансийского автономного округа – Югры</w:t>
      </w:r>
      <w:r w:rsidR="003D650D" w:rsidRPr="00CD63E4">
        <w:t xml:space="preserve"> (9</w:t>
      </w:r>
      <w:r w:rsidR="005C3F6F">
        <w:t>9,6</w:t>
      </w:r>
      <w:r w:rsidR="00CD63E4" w:rsidRPr="00CD63E4">
        <w:t> </w:t>
      </w:r>
      <w:r w:rsidR="002E025D">
        <w:t>балла).</w:t>
      </w:r>
    </w:p>
    <w:p w:rsidR="000C390B" w:rsidRPr="00630ADA" w:rsidRDefault="000C390B" w:rsidP="00477650">
      <w:pPr>
        <w:pStyle w:val="a3"/>
        <w:spacing w:line="360" w:lineRule="auto"/>
        <w:ind w:left="0" w:firstLine="709"/>
      </w:pPr>
      <w:r w:rsidRPr="00630ADA">
        <w:t>Наи</w:t>
      </w:r>
      <w:r w:rsidR="003B7FD4" w:rsidRPr="00630ADA">
        <w:t>мень</w:t>
      </w:r>
      <w:r w:rsidRPr="00630ADA">
        <w:t>шие оценки качества среднесрочного финансового планирования имеют следующие ГРБС:</w:t>
      </w:r>
    </w:p>
    <w:p w:rsidR="009047B0" w:rsidRDefault="005C3F6F" w:rsidP="002E025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E025D">
        <w:t>Департамент строительства</w:t>
      </w:r>
      <w:r>
        <w:t xml:space="preserve"> </w:t>
      </w:r>
      <w:r w:rsidRPr="002515FA">
        <w:t>Ханты-Мансийского автономного округа – Югры</w:t>
      </w:r>
      <w:r w:rsidRPr="00630ADA">
        <w:t xml:space="preserve"> </w:t>
      </w:r>
      <w:r w:rsidR="009047B0" w:rsidRPr="00630ADA">
        <w:t>(</w:t>
      </w:r>
      <w:r>
        <w:t>78,7</w:t>
      </w:r>
      <w:r w:rsidR="009047B0" w:rsidRPr="00630ADA">
        <w:t xml:space="preserve"> балл</w:t>
      </w:r>
      <w:r w:rsidR="003A6453">
        <w:t>а</w:t>
      </w:r>
      <w:r w:rsidR="009047B0" w:rsidRPr="00630ADA">
        <w:t>)</w:t>
      </w:r>
      <w:r w:rsidR="009047B0">
        <w:t>;</w:t>
      </w:r>
    </w:p>
    <w:p w:rsidR="003D650D" w:rsidRDefault="005C3F6F" w:rsidP="005C3F6F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5C3F6F">
        <w:t xml:space="preserve">Дума Ханты-Мансийского автономного округа – Югры </w:t>
      </w:r>
      <w:r w:rsidR="00455210">
        <w:t>(</w:t>
      </w:r>
      <w:r w:rsidR="00113DED">
        <w:t>79,1</w:t>
      </w:r>
      <w:r w:rsidR="003D650D">
        <w:t xml:space="preserve"> балла);</w:t>
      </w:r>
    </w:p>
    <w:p w:rsidR="006623CE" w:rsidRDefault="005C3F6F" w:rsidP="005C3F6F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5C3F6F">
        <w:t xml:space="preserve">Служба по контролю и надзору в сфере образования Ханты-Мансийского автономного округа – Югры </w:t>
      </w:r>
      <w:r w:rsidR="006623CE" w:rsidRPr="00630ADA">
        <w:t>(</w:t>
      </w:r>
      <w:r w:rsidR="00113DED">
        <w:t>82,1</w:t>
      </w:r>
      <w:r w:rsidR="006623CE" w:rsidRPr="00630ADA">
        <w:t xml:space="preserve"> балл</w:t>
      </w:r>
      <w:r w:rsidR="006623CE">
        <w:t>а</w:t>
      </w:r>
      <w:r w:rsidR="006623CE" w:rsidRPr="00630ADA">
        <w:t>)</w:t>
      </w:r>
      <w:r w:rsidR="003D650D">
        <w:t>.</w:t>
      </w:r>
    </w:p>
    <w:p w:rsidR="000C390B" w:rsidRPr="00384B61" w:rsidRDefault="000C390B" w:rsidP="00C74F93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B61">
        <w:rPr>
          <w:rFonts w:ascii="Times New Roman" w:hAnsi="Times New Roman" w:cs="Times New Roman"/>
          <w:b/>
          <w:sz w:val="24"/>
          <w:szCs w:val="24"/>
        </w:rPr>
        <w:lastRenderedPageBreak/>
        <w:t>2. Исполнение бюджета в части расходов</w:t>
      </w:r>
    </w:p>
    <w:p w:rsidR="00A840A4" w:rsidRDefault="000B1379" w:rsidP="002E02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379">
        <w:rPr>
          <w:rFonts w:ascii="Times New Roman" w:hAnsi="Times New Roman" w:cs="Times New Roman"/>
          <w:sz w:val="24"/>
          <w:szCs w:val="24"/>
        </w:rPr>
        <w:t xml:space="preserve">Для расчёта показателей Мониторинга в части исполнения бюджета по расходам использовались данные годовых отчётов ГРБС об исполнении бюджета автономного округа за </w:t>
      </w:r>
      <w:r w:rsidR="002C009B">
        <w:rPr>
          <w:rFonts w:ascii="Times New Roman" w:hAnsi="Times New Roman" w:cs="Times New Roman"/>
          <w:sz w:val="24"/>
          <w:szCs w:val="24"/>
        </w:rPr>
        <w:t>2020</w:t>
      </w:r>
      <w:r w:rsidR="0091046D" w:rsidRPr="00570197">
        <w:rPr>
          <w:rFonts w:ascii="Times New Roman" w:hAnsi="Times New Roman" w:cs="Times New Roman"/>
          <w:sz w:val="24"/>
          <w:szCs w:val="24"/>
        </w:rPr>
        <w:t xml:space="preserve"> год</w:t>
      </w:r>
      <w:r w:rsidR="00A840A4">
        <w:rPr>
          <w:rFonts w:ascii="Times New Roman" w:hAnsi="Times New Roman" w:cs="Times New Roman"/>
          <w:sz w:val="24"/>
          <w:szCs w:val="24"/>
        </w:rPr>
        <w:t>.</w:t>
      </w:r>
    </w:p>
    <w:p w:rsidR="00384B61" w:rsidRPr="0098108B" w:rsidRDefault="00A840A4" w:rsidP="00981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16266E">
        <w:rPr>
          <w:rFonts w:ascii="Times New Roman" w:hAnsi="Times New Roman" w:cs="Times New Roman"/>
          <w:sz w:val="24"/>
          <w:szCs w:val="24"/>
        </w:rPr>
        <w:t>роме того,</w:t>
      </w:r>
      <w:r w:rsidR="00D87B73" w:rsidRPr="00D87B73">
        <w:rPr>
          <w:rFonts w:ascii="Times New Roman" w:hAnsi="Times New Roman" w:cs="Times New Roman"/>
          <w:sz w:val="24"/>
          <w:szCs w:val="24"/>
        </w:rPr>
        <w:t xml:space="preserve"> был</w:t>
      </w:r>
      <w:r w:rsidR="00D87B73">
        <w:rPr>
          <w:rFonts w:ascii="Times New Roman" w:hAnsi="Times New Roman" w:cs="Times New Roman"/>
          <w:sz w:val="24"/>
          <w:szCs w:val="24"/>
        </w:rPr>
        <w:t>о оценено к</w:t>
      </w:r>
      <w:r w:rsidR="00D87B73" w:rsidRPr="00D87B73">
        <w:rPr>
          <w:rFonts w:ascii="Times New Roman" w:hAnsi="Times New Roman" w:cs="Times New Roman"/>
          <w:sz w:val="24"/>
          <w:szCs w:val="24"/>
        </w:rPr>
        <w:t>ачество</w:t>
      </w:r>
      <w:r>
        <w:rPr>
          <w:rFonts w:ascii="Times New Roman" w:hAnsi="Times New Roman" w:cs="Times New Roman"/>
          <w:sz w:val="24"/>
          <w:szCs w:val="24"/>
        </w:rPr>
        <w:t>, утвержденного ГРБС</w:t>
      </w:r>
      <w:r w:rsidR="00D87B73" w:rsidRPr="00D87B73">
        <w:rPr>
          <w:rFonts w:ascii="Times New Roman" w:hAnsi="Times New Roman" w:cs="Times New Roman"/>
          <w:sz w:val="24"/>
          <w:szCs w:val="24"/>
        </w:rPr>
        <w:t xml:space="preserve"> порядка составления, утверждения и ведения бюджетных смет </w:t>
      </w:r>
      <w:r w:rsidR="00B97519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="00D87B73">
        <w:rPr>
          <w:rFonts w:ascii="Times New Roman" w:hAnsi="Times New Roman" w:cs="Times New Roman"/>
          <w:sz w:val="24"/>
          <w:szCs w:val="24"/>
        </w:rPr>
        <w:t>.</w:t>
      </w:r>
    </w:p>
    <w:p w:rsidR="00B33A74" w:rsidRPr="00D87B73" w:rsidRDefault="00390D17" w:rsidP="00B33A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B73">
        <w:rPr>
          <w:rFonts w:ascii="Times New Roman" w:hAnsi="Times New Roman" w:cs="Times New Roman"/>
          <w:sz w:val="24"/>
          <w:szCs w:val="24"/>
        </w:rPr>
        <w:t xml:space="preserve">В качестве критериев оценки </w:t>
      </w:r>
      <w:r w:rsidR="0091046D" w:rsidRPr="00D87B73">
        <w:rPr>
          <w:rFonts w:ascii="Times New Roman" w:hAnsi="Times New Roman" w:cs="Times New Roman"/>
          <w:sz w:val="24"/>
          <w:szCs w:val="24"/>
        </w:rPr>
        <w:t>данного показателя</w:t>
      </w:r>
      <w:r w:rsidRPr="00D87B73">
        <w:rPr>
          <w:rFonts w:ascii="Times New Roman" w:hAnsi="Times New Roman" w:cs="Times New Roman"/>
          <w:sz w:val="24"/>
          <w:szCs w:val="24"/>
        </w:rPr>
        <w:t xml:space="preserve"> </w:t>
      </w:r>
      <w:r w:rsidR="00B33A74" w:rsidRPr="00D87B73">
        <w:rPr>
          <w:rFonts w:ascii="Times New Roman" w:hAnsi="Times New Roman" w:cs="Times New Roman"/>
          <w:sz w:val="24"/>
          <w:szCs w:val="24"/>
        </w:rPr>
        <w:t>использовались требования по наличию в правов</w:t>
      </w:r>
      <w:r w:rsidR="00B0383C" w:rsidRPr="00D87B73">
        <w:rPr>
          <w:rFonts w:ascii="Times New Roman" w:hAnsi="Times New Roman" w:cs="Times New Roman"/>
          <w:sz w:val="24"/>
          <w:szCs w:val="24"/>
        </w:rPr>
        <w:t>ых</w:t>
      </w:r>
      <w:r w:rsidR="00B33A74" w:rsidRPr="00D87B73">
        <w:rPr>
          <w:rFonts w:ascii="Times New Roman" w:hAnsi="Times New Roman" w:cs="Times New Roman"/>
          <w:sz w:val="24"/>
          <w:szCs w:val="24"/>
        </w:rPr>
        <w:t xml:space="preserve"> акт</w:t>
      </w:r>
      <w:r w:rsidR="00B0383C" w:rsidRPr="00D87B73">
        <w:rPr>
          <w:rFonts w:ascii="Times New Roman" w:hAnsi="Times New Roman" w:cs="Times New Roman"/>
          <w:sz w:val="24"/>
          <w:szCs w:val="24"/>
        </w:rPr>
        <w:t>ах</w:t>
      </w:r>
      <w:r w:rsidR="00B33A74" w:rsidRPr="00D87B73">
        <w:rPr>
          <w:rFonts w:ascii="Times New Roman" w:hAnsi="Times New Roman" w:cs="Times New Roman"/>
          <w:sz w:val="24"/>
          <w:szCs w:val="24"/>
        </w:rPr>
        <w:t xml:space="preserve"> </w:t>
      </w:r>
      <w:r w:rsidR="00B0383C" w:rsidRPr="00D87B73">
        <w:rPr>
          <w:rFonts w:ascii="Times New Roman" w:hAnsi="Times New Roman" w:cs="Times New Roman"/>
          <w:sz w:val="24"/>
          <w:szCs w:val="24"/>
        </w:rPr>
        <w:t xml:space="preserve">ГРБС следующих </w:t>
      </w:r>
      <w:r w:rsidR="00BF4519" w:rsidRPr="00D87B73">
        <w:rPr>
          <w:rFonts w:ascii="Times New Roman" w:hAnsi="Times New Roman" w:cs="Times New Roman"/>
          <w:sz w:val="24"/>
          <w:szCs w:val="24"/>
        </w:rPr>
        <w:t>процедур</w:t>
      </w:r>
      <w:r w:rsidR="00B33A74" w:rsidRPr="00D87B73">
        <w:rPr>
          <w:rFonts w:ascii="Times New Roman" w:hAnsi="Times New Roman" w:cs="Times New Roman"/>
          <w:sz w:val="24"/>
          <w:szCs w:val="24"/>
        </w:rPr>
        <w:t>:</w:t>
      </w:r>
    </w:p>
    <w:p w:rsidR="00B33A74" w:rsidRPr="00D87B73" w:rsidRDefault="00B33A74" w:rsidP="00B33A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B73">
        <w:rPr>
          <w:rFonts w:ascii="Times New Roman" w:hAnsi="Times New Roman" w:cs="Times New Roman"/>
          <w:sz w:val="24"/>
          <w:szCs w:val="24"/>
        </w:rPr>
        <w:t xml:space="preserve">составления, ведения и утверждения бюджетных смет </w:t>
      </w:r>
      <w:r w:rsidR="00B97519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Pr="00D87B73">
        <w:rPr>
          <w:rFonts w:ascii="Times New Roman" w:hAnsi="Times New Roman" w:cs="Times New Roman"/>
          <w:sz w:val="24"/>
          <w:szCs w:val="24"/>
        </w:rPr>
        <w:t>, применяемы</w:t>
      </w:r>
      <w:r w:rsidR="00BF4519" w:rsidRPr="00D87B73">
        <w:rPr>
          <w:rFonts w:ascii="Times New Roman" w:hAnsi="Times New Roman" w:cs="Times New Roman"/>
          <w:sz w:val="24"/>
          <w:szCs w:val="24"/>
        </w:rPr>
        <w:t>х</w:t>
      </w:r>
      <w:r w:rsidRPr="00D87B73">
        <w:rPr>
          <w:rFonts w:ascii="Times New Roman" w:hAnsi="Times New Roman" w:cs="Times New Roman"/>
          <w:sz w:val="24"/>
          <w:szCs w:val="24"/>
        </w:rPr>
        <w:t xml:space="preserve"> к ГРБС и его</w:t>
      </w:r>
      <w:r w:rsidR="00B97519">
        <w:rPr>
          <w:rFonts w:ascii="Times New Roman" w:hAnsi="Times New Roman" w:cs="Times New Roman"/>
          <w:sz w:val="24"/>
          <w:szCs w:val="24"/>
        </w:rPr>
        <w:t xml:space="preserve"> территориальным органам, а так</w:t>
      </w:r>
      <w:r w:rsidRPr="00D87B73">
        <w:rPr>
          <w:rFonts w:ascii="Times New Roman" w:hAnsi="Times New Roman" w:cs="Times New Roman"/>
          <w:sz w:val="24"/>
          <w:szCs w:val="24"/>
        </w:rPr>
        <w:t xml:space="preserve">же к </w:t>
      </w:r>
      <w:r w:rsidR="00B97519">
        <w:rPr>
          <w:rFonts w:ascii="Times New Roman" w:hAnsi="Times New Roman" w:cs="Times New Roman"/>
          <w:sz w:val="24"/>
          <w:szCs w:val="24"/>
        </w:rPr>
        <w:t>казенным учреждениям</w:t>
      </w:r>
      <w:r w:rsidRPr="00D87B73">
        <w:rPr>
          <w:rFonts w:ascii="Times New Roman" w:hAnsi="Times New Roman" w:cs="Times New Roman"/>
          <w:sz w:val="24"/>
          <w:szCs w:val="24"/>
        </w:rPr>
        <w:t>;</w:t>
      </w:r>
    </w:p>
    <w:p w:rsidR="00B33A74" w:rsidRPr="00D87B73" w:rsidRDefault="00B33A74" w:rsidP="00B33A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B73">
        <w:rPr>
          <w:rFonts w:ascii="Times New Roman" w:hAnsi="Times New Roman" w:cs="Times New Roman"/>
          <w:sz w:val="24"/>
          <w:szCs w:val="24"/>
        </w:rPr>
        <w:t xml:space="preserve">составления и представления расчетов (обоснований) к бюджетным сметам </w:t>
      </w:r>
      <w:r w:rsidR="00B97519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Pr="00D87B73">
        <w:rPr>
          <w:rFonts w:ascii="Times New Roman" w:hAnsi="Times New Roman" w:cs="Times New Roman"/>
          <w:sz w:val="24"/>
          <w:szCs w:val="24"/>
        </w:rPr>
        <w:t>;</w:t>
      </w:r>
    </w:p>
    <w:p w:rsidR="00135F96" w:rsidRPr="00D87B73" w:rsidRDefault="00B33A74" w:rsidP="00B33A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B73">
        <w:rPr>
          <w:rFonts w:ascii="Times New Roman" w:hAnsi="Times New Roman" w:cs="Times New Roman"/>
          <w:sz w:val="24"/>
          <w:szCs w:val="24"/>
        </w:rPr>
        <w:t xml:space="preserve">составления и представления проектов бюджетных смет на этапе формирования бюджетных проектировок </w:t>
      </w:r>
      <w:r w:rsidR="00FD1493" w:rsidRPr="00D87B73">
        <w:rPr>
          <w:rFonts w:ascii="Times New Roman" w:hAnsi="Times New Roman" w:cs="Times New Roman"/>
          <w:sz w:val="24"/>
          <w:szCs w:val="24"/>
        </w:rPr>
        <w:t>(</w:t>
      </w:r>
      <w:r w:rsidR="00A840A4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</w:t>
      </w:r>
      <w:r w:rsidR="00FD1493" w:rsidRPr="00D87B73">
        <w:rPr>
          <w:rFonts w:ascii="Times New Roman" w:hAnsi="Times New Roman" w:cs="Times New Roman"/>
          <w:sz w:val="24"/>
          <w:szCs w:val="24"/>
        </w:rPr>
        <w:t>)</w:t>
      </w:r>
      <w:r w:rsidRPr="00D87B73">
        <w:rPr>
          <w:rFonts w:ascii="Times New Roman" w:hAnsi="Times New Roman" w:cs="Times New Roman"/>
          <w:sz w:val="24"/>
          <w:szCs w:val="24"/>
        </w:rPr>
        <w:t>.</w:t>
      </w:r>
    </w:p>
    <w:p w:rsidR="004B3446" w:rsidRDefault="00845A06" w:rsidP="00511E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</w:t>
      </w:r>
      <w:r w:rsidR="00A840A4">
        <w:rPr>
          <w:rFonts w:ascii="Times New Roman" w:hAnsi="Times New Roman" w:cs="Times New Roman"/>
          <w:sz w:val="24"/>
          <w:szCs w:val="24"/>
        </w:rPr>
        <w:t>ми</w:t>
      </w:r>
      <w:r w:rsidR="005F385C" w:rsidRPr="00E857A0">
        <w:rPr>
          <w:rFonts w:ascii="Times New Roman" w:hAnsi="Times New Roman" w:cs="Times New Roman"/>
          <w:sz w:val="24"/>
          <w:szCs w:val="24"/>
        </w:rPr>
        <w:t xml:space="preserve"> 1</w:t>
      </w:r>
      <w:r w:rsidR="00261869" w:rsidRPr="00E857A0">
        <w:rPr>
          <w:rFonts w:ascii="Times New Roman" w:hAnsi="Times New Roman" w:cs="Times New Roman"/>
          <w:sz w:val="24"/>
          <w:szCs w:val="24"/>
        </w:rPr>
        <w:t>0</w:t>
      </w:r>
      <w:r w:rsidR="005F385C" w:rsidRPr="00E857A0">
        <w:rPr>
          <w:rFonts w:ascii="Times New Roman" w:hAnsi="Times New Roman" w:cs="Times New Roman"/>
          <w:sz w:val="24"/>
          <w:szCs w:val="24"/>
        </w:rPr>
        <w:t xml:space="preserve"> ГРБС, имеющи</w:t>
      </w:r>
      <w:r w:rsidR="00A840A4">
        <w:rPr>
          <w:rFonts w:ascii="Times New Roman" w:hAnsi="Times New Roman" w:cs="Times New Roman"/>
          <w:sz w:val="24"/>
          <w:szCs w:val="24"/>
        </w:rPr>
        <w:t>ми</w:t>
      </w:r>
      <w:r w:rsidR="00827FD4" w:rsidRPr="00E857A0">
        <w:rPr>
          <w:rFonts w:ascii="Times New Roman" w:hAnsi="Times New Roman" w:cs="Times New Roman"/>
          <w:sz w:val="24"/>
          <w:szCs w:val="24"/>
        </w:rPr>
        <w:t xml:space="preserve"> подведомственную сеть, </w:t>
      </w:r>
      <w:r w:rsidR="00804E1E">
        <w:rPr>
          <w:rFonts w:ascii="Times New Roman" w:hAnsi="Times New Roman" w:cs="Times New Roman"/>
          <w:sz w:val="24"/>
          <w:szCs w:val="24"/>
        </w:rPr>
        <w:t>были выполнены все критерии, в свя</w:t>
      </w:r>
      <w:r w:rsidR="00301724">
        <w:rPr>
          <w:rFonts w:ascii="Times New Roman" w:hAnsi="Times New Roman" w:cs="Times New Roman"/>
          <w:sz w:val="24"/>
          <w:szCs w:val="24"/>
        </w:rPr>
        <w:t xml:space="preserve">зи с чем у всех ГРБС оценка по данному показателю составила 1 балл. </w:t>
      </w:r>
    </w:p>
    <w:p w:rsidR="00F14E99" w:rsidRDefault="00CE6D00" w:rsidP="00145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D00">
        <w:rPr>
          <w:rFonts w:ascii="Times New Roman" w:hAnsi="Times New Roman" w:cs="Times New Roman"/>
          <w:sz w:val="24"/>
          <w:szCs w:val="24"/>
        </w:rPr>
        <w:t xml:space="preserve">Одним из наиболее значимых количественных показателей в данной группе является доля неисполненных на конец отчетного финансового года бюджетных ассигнований (удельный вес – </w:t>
      </w:r>
      <w:r w:rsidR="00B8679E">
        <w:rPr>
          <w:rFonts w:ascii="Times New Roman" w:hAnsi="Times New Roman" w:cs="Times New Roman"/>
          <w:sz w:val="24"/>
          <w:szCs w:val="24"/>
        </w:rPr>
        <w:t>18</w:t>
      </w:r>
      <w:r w:rsidR="00FE499E">
        <w:rPr>
          <w:rFonts w:ascii="Times New Roman" w:hAnsi="Times New Roman" w:cs="Times New Roman"/>
          <w:sz w:val="24"/>
          <w:szCs w:val="24"/>
        </w:rPr>
        <w:t> </w:t>
      </w:r>
      <w:r w:rsidR="00F14E99">
        <w:rPr>
          <w:rFonts w:ascii="Times New Roman" w:hAnsi="Times New Roman" w:cs="Times New Roman"/>
          <w:sz w:val="24"/>
          <w:szCs w:val="24"/>
        </w:rPr>
        <w:t>%). Минимальную оценку 0 баллов</w:t>
      </w:r>
      <w:r w:rsidR="00E422B0">
        <w:rPr>
          <w:rFonts w:ascii="Times New Roman" w:hAnsi="Times New Roman" w:cs="Times New Roman"/>
          <w:sz w:val="24"/>
          <w:szCs w:val="24"/>
        </w:rPr>
        <w:t xml:space="preserve"> </w:t>
      </w:r>
      <w:r w:rsidR="00D60020">
        <w:rPr>
          <w:rFonts w:ascii="Times New Roman" w:hAnsi="Times New Roman" w:cs="Times New Roman"/>
          <w:sz w:val="24"/>
          <w:szCs w:val="24"/>
        </w:rPr>
        <w:t xml:space="preserve">по данному показателю </w:t>
      </w:r>
      <w:r w:rsidR="00F14E99">
        <w:rPr>
          <w:rFonts w:ascii="Times New Roman" w:hAnsi="Times New Roman" w:cs="Times New Roman"/>
          <w:sz w:val="24"/>
          <w:szCs w:val="24"/>
        </w:rPr>
        <w:t>получили:</w:t>
      </w:r>
    </w:p>
    <w:p w:rsidR="00F14E99" w:rsidRDefault="00A90F5B" w:rsidP="00A90F5B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90F5B">
        <w:t>Департамент дорожного хозяйства и транспорта Ханты-Мансийского автономного округа – Югры</w:t>
      </w:r>
      <w:r w:rsidR="00F14E99">
        <w:t>;</w:t>
      </w:r>
    </w:p>
    <w:p w:rsidR="00F14E99" w:rsidRDefault="00A90F5B" w:rsidP="00A90F5B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90F5B">
        <w:t>Департамент по управлению государственным имуществом Ханты-Мансийского автономного округа – Югры</w:t>
      </w:r>
      <w:r w:rsidR="00F14E99">
        <w:t>.</w:t>
      </w:r>
    </w:p>
    <w:p w:rsidR="00CE6D00" w:rsidRPr="00F14E99" w:rsidRDefault="00F14E99" w:rsidP="00A90F5B">
      <w:pPr>
        <w:pStyle w:val="a3"/>
        <w:spacing w:line="360" w:lineRule="auto"/>
        <w:ind w:left="0" w:firstLine="709"/>
      </w:pPr>
      <w:r>
        <w:t>У</w:t>
      </w:r>
      <w:r w:rsidR="00D60020" w:rsidRPr="00F14E99">
        <w:t xml:space="preserve"> </w:t>
      </w:r>
      <w:r>
        <w:t>перечисленных</w:t>
      </w:r>
      <w:r w:rsidR="00D60020" w:rsidRPr="00F14E99">
        <w:t xml:space="preserve"> ГРБС доля неисполненных на конец отчетного финансового года бюджетных ассигнований превысила </w:t>
      </w:r>
      <w:r w:rsidR="0091059E" w:rsidRPr="00F14E99">
        <w:t xml:space="preserve">целевой ориентир – </w:t>
      </w:r>
      <w:r w:rsidR="00D60020" w:rsidRPr="00F14E99">
        <w:t>10</w:t>
      </w:r>
      <w:r w:rsidR="00526F2E" w:rsidRPr="00F14E99">
        <w:t> </w:t>
      </w:r>
      <w:r w:rsidR="00A94B2E">
        <w:t>%. Остальные 35</w:t>
      </w:r>
      <w:r w:rsidR="00D60020" w:rsidRPr="00F14E99">
        <w:t xml:space="preserve"> ГРБС </w:t>
      </w:r>
      <w:r w:rsidR="00A94B2E">
        <w:t xml:space="preserve">        </w:t>
      </w:r>
      <w:r w:rsidR="00D60020" w:rsidRPr="00F14E99">
        <w:t>(</w:t>
      </w:r>
      <w:r w:rsidR="00526F2E" w:rsidRPr="00F14E99">
        <w:t>9</w:t>
      </w:r>
      <w:r w:rsidR="00A94B2E">
        <w:t xml:space="preserve">4,6 </w:t>
      </w:r>
      <w:r w:rsidR="00D60020" w:rsidRPr="00F14E99">
        <w:t>%</w:t>
      </w:r>
      <w:r w:rsidR="00526F2E" w:rsidRPr="00F14E99">
        <w:t xml:space="preserve"> от оцениваемого</w:t>
      </w:r>
      <w:r w:rsidR="00A161C8" w:rsidRPr="00F14E99">
        <w:t xml:space="preserve"> их</w:t>
      </w:r>
      <w:r w:rsidR="00526F2E" w:rsidRPr="00F14E99">
        <w:t xml:space="preserve"> количества</w:t>
      </w:r>
      <w:r w:rsidR="00D60020" w:rsidRPr="00F14E99">
        <w:t xml:space="preserve">) </w:t>
      </w:r>
      <w:r>
        <w:t>получили оценки свыше 0,9 балла</w:t>
      </w:r>
      <w:r w:rsidR="00526F2E" w:rsidRPr="00F14E99">
        <w:t>.</w:t>
      </w:r>
    </w:p>
    <w:p w:rsidR="00AE3296" w:rsidRPr="00AE3296" w:rsidRDefault="00467808" w:rsidP="00AE32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Следующими по</w:t>
      </w:r>
      <w:r w:rsidR="00AE3296" w:rsidRPr="00AE3296">
        <w:rPr>
          <w:rFonts w:ascii="Times New Roman" w:hAnsi="Times New Roman" w:cs="Times New Roman"/>
          <w:sz w:val="24"/>
          <w:szCs w:val="24"/>
        </w:rPr>
        <w:t xml:space="preserve"> значи</w:t>
      </w:r>
      <w:r>
        <w:rPr>
          <w:rFonts w:ascii="Times New Roman" w:hAnsi="Times New Roman" w:cs="Times New Roman"/>
          <w:sz w:val="24"/>
          <w:szCs w:val="24"/>
        </w:rPr>
        <w:t>мости</w:t>
      </w:r>
      <w:r w:rsidR="00AE3296" w:rsidRPr="00AE3296">
        <w:rPr>
          <w:rFonts w:ascii="Times New Roman" w:hAnsi="Times New Roman" w:cs="Times New Roman"/>
          <w:sz w:val="24"/>
          <w:szCs w:val="24"/>
        </w:rPr>
        <w:t xml:space="preserve"> в группе явля</w:t>
      </w:r>
      <w:r w:rsidR="00AE3296">
        <w:rPr>
          <w:rFonts w:ascii="Times New Roman" w:hAnsi="Times New Roman" w:cs="Times New Roman"/>
          <w:sz w:val="24"/>
          <w:szCs w:val="24"/>
        </w:rPr>
        <w:t>ю</w:t>
      </w:r>
      <w:r w:rsidR="00AE3296" w:rsidRPr="00AE3296">
        <w:rPr>
          <w:rFonts w:ascii="Times New Roman" w:hAnsi="Times New Roman" w:cs="Times New Roman"/>
          <w:sz w:val="24"/>
          <w:szCs w:val="24"/>
        </w:rPr>
        <w:t>тся показател</w:t>
      </w:r>
      <w:r w:rsidR="00AE3296">
        <w:rPr>
          <w:rFonts w:ascii="Times New Roman" w:hAnsi="Times New Roman" w:cs="Times New Roman"/>
          <w:sz w:val="24"/>
          <w:szCs w:val="24"/>
        </w:rPr>
        <w:t>и</w:t>
      </w:r>
      <w:r w:rsidR="00AE3296" w:rsidRPr="00AE3296">
        <w:rPr>
          <w:rFonts w:ascii="Times New Roman" w:hAnsi="Times New Roman" w:cs="Times New Roman"/>
          <w:sz w:val="24"/>
          <w:szCs w:val="24"/>
        </w:rPr>
        <w:t>, характеризующи</w:t>
      </w:r>
      <w:r w:rsidR="00AE3296">
        <w:rPr>
          <w:rFonts w:ascii="Times New Roman" w:hAnsi="Times New Roman" w:cs="Times New Roman"/>
          <w:sz w:val="24"/>
          <w:szCs w:val="24"/>
        </w:rPr>
        <w:t>е</w:t>
      </w:r>
      <w:r w:rsidR="00AE3296" w:rsidRPr="00AE3296">
        <w:rPr>
          <w:rFonts w:ascii="Times New Roman" w:hAnsi="Times New Roman" w:cs="Times New Roman"/>
          <w:sz w:val="24"/>
          <w:szCs w:val="24"/>
        </w:rPr>
        <w:t xml:space="preserve"> равномерность исполнения расходов по кварталам в течение года</w:t>
      </w:r>
      <w:r w:rsidR="00AE3296">
        <w:rPr>
          <w:rFonts w:ascii="Times New Roman" w:hAnsi="Times New Roman" w:cs="Times New Roman"/>
          <w:sz w:val="24"/>
          <w:szCs w:val="24"/>
        </w:rPr>
        <w:t xml:space="preserve"> и в</w:t>
      </w:r>
      <w:r w:rsidR="00AE3296" w:rsidRPr="00AE3296">
        <w:rPr>
          <w:rFonts w:ascii="Times New Roman" w:hAnsi="Times New Roman" w:cs="Times New Roman"/>
          <w:sz w:val="24"/>
          <w:szCs w:val="24"/>
        </w:rPr>
        <w:t>остребов</w:t>
      </w:r>
      <w:r w:rsidR="00AD5217">
        <w:rPr>
          <w:rFonts w:ascii="Times New Roman" w:hAnsi="Times New Roman" w:cs="Times New Roman"/>
          <w:sz w:val="24"/>
          <w:szCs w:val="24"/>
        </w:rPr>
        <w:t>анность бюджетных ассигнований</w:t>
      </w:r>
      <w:r w:rsidR="006D0F4A">
        <w:rPr>
          <w:rFonts w:ascii="Times New Roman" w:hAnsi="Times New Roman" w:cs="Times New Roman"/>
          <w:sz w:val="24"/>
          <w:szCs w:val="24"/>
        </w:rPr>
        <w:t xml:space="preserve"> в части предоставления межбюджетных трансфертов</w:t>
      </w:r>
      <w:r w:rsidR="00AD5217">
        <w:rPr>
          <w:rFonts w:ascii="Times New Roman" w:hAnsi="Times New Roman" w:cs="Times New Roman"/>
          <w:sz w:val="24"/>
          <w:szCs w:val="24"/>
        </w:rPr>
        <w:t>.</w:t>
      </w:r>
    </w:p>
    <w:p w:rsidR="00145077" w:rsidRDefault="00736A57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ГРБС, или 73</w:t>
      </w:r>
      <w:r w:rsidR="00597557">
        <w:rPr>
          <w:rFonts w:ascii="Times New Roman" w:hAnsi="Times New Roman" w:cs="Times New Roman"/>
          <w:sz w:val="24"/>
          <w:szCs w:val="24"/>
        </w:rPr>
        <w:t> </w:t>
      </w:r>
      <w:r w:rsidR="00AE3296" w:rsidRPr="0016266E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A161C8">
        <w:rPr>
          <w:rFonts w:ascii="Times New Roman" w:hAnsi="Times New Roman" w:cs="Times New Roman"/>
          <w:sz w:val="24"/>
          <w:szCs w:val="24"/>
        </w:rPr>
        <w:t xml:space="preserve">их </w:t>
      </w:r>
      <w:r w:rsidR="00AE3296" w:rsidRPr="0016266E">
        <w:rPr>
          <w:rFonts w:ascii="Times New Roman" w:hAnsi="Times New Roman" w:cs="Times New Roman"/>
          <w:sz w:val="24"/>
          <w:szCs w:val="24"/>
        </w:rPr>
        <w:t>количества, удалось обеспечить достаточно равномерное исполнен</w:t>
      </w:r>
      <w:r w:rsidR="00253483">
        <w:rPr>
          <w:rFonts w:ascii="Times New Roman" w:hAnsi="Times New Roman" w:cs="Times New Roman"/>
          <w:sz w:val="24"/>
          <w:szCs w:val="24"/>
        </w:rPr>
        <w:t xml:space="preserve">ие </w:t>
      </w:r>
      <w:r>
        <w:rPr>
          <w:rFonts w:ascii="Times New Roman" w:hAnsi="Times New Roman" w:cs="Times New Roman"/>
          <w:sz w:val="24"/>
          <w:szCs w:val="24"/>
        </w:rPr>
        <w:t>расходов в течение отчётного 2020</w:t>
      </w:r>
      <w:r w:rsidR="00AE3296" w:rsidRPr="0016266E">
        <w:rPr>
          <w:rFonts w:ascii="Times New Roman" w:hAnsi="Times New Roman" w:cs="Times New Roman"/>
          <w:sz w:val="24"/>
          <w:szCs w:val="24"/>
        </w:rPr>
        <w:t xml:space="preserve"> года, что позволило получить максимальную оценку по данно</w:t>
      </w:r>
      <w:r w:rsidR="00642D85">
        <w:rPr>
          <w:rFonts w:ascii="Times New Roman" w:hAnsi="Times New Roman" w:cs="Times New Roman"/>
          <w:sz w:val="24"/>
          <w:szCs w:val="24"/>
        </w:rPr>
        <w:t>му показателю – 1</w:t>
      </w:r>
      <w:r w:rsidR="00253483">
        <w:rPr>
          <w:rFonts w:ascii="Times New Roman" w:hAnsi="Times New Roman" w:cs="Times New Roman"/>
          <w:sz w:val="24"/>
          <w:szCs w:val="24"/>
        </w:rPr>
        <w:t xml:space="preserve"> балл</w:t>
      </w:r>
      <w:r w:rsidR="00642D85">
        <w:rPr>
          <w:rFonts w:ascii="Times New Roman" w:hAnsi="Times New Roman" w:cs="Times New Roman"/>
          <w:sz w:val="24"/>
          <w:szCs w:val="24"/>
        </w:rPr>
        <w:t xml:space="preserve">. </w:t>
      </w:r>
      <w:r w:rsidR="0025348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="00AE3296" w:rsidRPr="0016266E">
        <w:rPr>
          <w:rFonts w:ascii="Times New Roman" w:hAnsi="Times New Roman" w:cs="Times New Roman"/>
          <w:sz w:val="24"/>
          <w:szCs w:val="24"/>
        </w:rPr>
        <w:t xml:space="preserve"> ГРБС расходы в IV квартале </w:t>
      </w:r>
      <w:r w:rsidR="00AD5C76" w:rsidRPr="0016266E">
        <w:rPr>
          <w:rFonts w:ascii="Times New Roman" w:hAnsi="Times New Roman" w:cs="Times New Roman"/>
          <w:sz w:val="24"/>
          <w:szCs w:val="24"/>
        </w:rPr>
        <w:t>более чем в 2 раза превысили средний объём расходов, прои</w:t>
      </w:r>
      <w:r w:rsidR="00DC0555">
        <w:rPr>
          <w:rFonts w:ascii="Times New Roman" w:hAnsi="Times New Roman" w:cs="Times New Roman"/>
          <w:sz w:val="24"/>
          <w:szCs w:val="24"/>
        </w:rPr>
        <w:t xml:space="preserve">зведённых в I-III </w:t>
      </w:r>
      <w:r>
        <w:rPr>
          <w:rFonts w:ascii="Times New Roman" w:hAnsi="Times New Roman" w:cs="Times New Roman"/>
          <w:sz w:val="24"/>
          <w:szCs w:val="24"/>
        </w:rPr>
        <w:t>кварталах 2020</w:t>
      </w:r>
      <w:r w:rsidR="00AD5C76" w:rsidRPr="0016266E">
        <w:rPr>
          <w:rFonts w:ascii="Times New Roman" w:hAnsi="Times New Roman" w:cs="Times New Roman"/>
          <w:sz w:val="24"/>
          <w:szCs w:val="24"/>
        </w:rPr>
        <w:t xml:space="preserve"> года, в результате чего им были присвоены наименьшие оценки по </w:t>
      </w:r>
      <w:r w:rsidR="00AD5C76" w:rsidRPr="00462125">
        <w:rPr>
          <w:rFonts w:ascii="Times New Roman" w:hAnsi="Times New Roman" w:cs="Times New Roman"/>
          <w:sz w:val="24"/>
          <w:szCs w:val="24"/>
        </w:rPr>
        <w:t>данному показателю – 0</w:t>
      </w:r>
      <w:r w:rsidR="00253483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AD5C76" w:rsidRPr="004621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Остальные 4</w:t>
      </w:r>
      <w:r w:rsidR="00DC0555">
        <w:rPr>
          <w:rFonts w:ascii="Times New Roman" w:hAnsi="Times New Roman" w:cs="Times New Roman"/>
          <w:sz w:val="24"/>
          <w:szCs w:val="24"/>
        </w:rPr>
        <w:t xml:space="preserve"> ГРБС по</w:t>
      </w:r>
      <w:r>
        <w:rPr>
          <w:rFonts w:ascii="Times New Roman" w:hAnsi="Times New Roman" w:cs="Times New Roman"/>
          <w:sz w:val="24"/>
          <w:szCs w:val="24"/>
        </w:rPr>
        <w:t>лучили оценки в диапазоне от 0,1 до 0,9</w:t>
      </w:r>
      <w:r w:rsidR="00DC0555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C97795" w:rsidRDefault="00467808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8E2">
        <w:rPr>
          <w:rFonts w:ascii="Times New Roman" w:hAnsi="Times New Roman" w:cs="Times New Roman"/>
          <w:sz w:val="24"/>
          <w:szCs w:val="24"/>
        </w:rPr>
        <w:lastRenderedPageBreak/>
        <w:t xml:space="preserve">Показатель востребованности бюджетных ассигнований </w:t>
      </w:r>
      <w:r w:rsidR="008C1076" w:rsidRPr="009778E2">
        <w:rPr>
          <w:rFonts w:ascii="Times New Roman" w:hAnsi="Times New Roman" w:cs="Times New Roman"/>
          <w:sz w:val="24"/>
          <w:szCs w:val="24"/>
        </w:rPr>
        <w:t xml:space="preserve">характеризует </w:t>
      </w:r>
      <w:r w:rsidR="00134DAD" w:rsidRPr="009778E2">
        <w:rPr>
          <w:rFonts w:ascii="Times New Roman" w:hAnsi="Times New Roman" w:cs="Times New Roman"/>
          <w:sz w:val="24"/>
          <w:szCs w:val="24"/>
        </w:rPr>
        <w:t>степень</w:t>
      </w:r>
      <w:r w:rsidR="008C1076" w:rsidRPr="009778E2"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 w:rsidR="00C6732C" w:rsidRPr="009778E2">
        <w:rPr>
          <w:rFonts w:ascii="Times New Roman" w:hAnsi="Times New Roman" w:cs="Times New Roman"/>
          <w:sz w:val="24"/>
          <w:szCs w:val="24"/>
        </w:rPr>
        <w:t xml:space="preserve">муниципальными образованиями </w:t>
      </w:r>
      <w:r w:rsidR="00C97795" w:rsidRPr="009778E2">
        <w:rPr>
          <w:rFonts w:ascii="Times New Roman" w:hAnsi="Times New Roman" w:cs="Times New Roman"/>
          <w:sz w:val="24"/>
          <w:szCs w:val="24"/>
        </w:rPr>
        <w:t xml:space="preserve">денежных </w:t>
      </w:r>
      <w:r w:rsidR="00C6732C" w:rsidRPr="009778E2">
        <w:rPr>
          <w:rFonts w:ascii="Times New Roman" w:hAnsi="Times New Roman" w:cs="Times New Roman"/>
          <w:sz w:val="24"/>
          <w:szCs w:val="24"/>
        </w:rPr>
        <w:t>средств, полученных в виде межбюджетных трансфертов из бюджета автономного округа. Доля неиспользованных муниципальными образованиями бюджетных ассигнований, сформированных на</w:t>
      </w:r>
      <w:r w:rsidR="0073321D">
        <w:rPr>
          <w:rFonts w:ascii="Times New Roman" w:hAnsi="Times New Roman" w:cs="Times New Roman"/>
          <w:sz w:val="24"/>
          <w:szCs w:val="24"/>
        </w:rPr>
        <w:t xml:space="preserve"> основании заявок 12</w:t>
      </w:r>
      <w:r w:rsidR="00C6732C" w:rsidRPr="009778E2">
        <w:rPr>
          <w:rFonts w:ascii="Times New Roman" w:hAnsi="Times New Roman" w:cs="Times New Roman"/>
          <w:sz w:val="24"/>
          <w:szCs w:val="24"/>
        </w:rPr>
        <w:t xml:space="preserve"> </w:t>
      </w:r>
      <w:r w:rsidR="00C97795" w:rsidRPr="009778E2">
        <w:rPr>
          <w:rFonts w:ascii="Times New Roman" w:hAnsi="Times New Roman" w:cs="Times New Roman"/>
          <w:sz w:val="24"/>
          <w:szCs w:val="24"/>
        </w:rPr>
        <w:t>из</w:t>
      </w:r>
      <w:r w:rsidR="00C6732C" w:rsidRPr="009778E2">
        <w:rPr>
          <w:rFonts w:ascii="Times New Roman" w:hAnsi="Times New Roman" w:cs="Times New Roman"/>
          <w:sz w:val="24"/>
          <w:szCs w:val="24"/>
        </w:rPr>
        <w:t xml:space="preserve"> </w:t>
      </w:r>
      <w:r w:rsidR="00C97795" w:rsidRPr="009778E2">
        <w:rPr>
          <w:rFonts w:ascii="Times New Roman" w:hAnsi="Times New Roman" w:cs="Times New Roman"/>
          <w:sz w:val="24"/>
          <w:szCs w:val="24"/>
        </w:rPr>
        <w:t>1</w:t>
      </w:r>
      <w:r w:rsidR="008F7ABC">
        <w:rPr>
          <w:rFonts w:ascii="Times New Roman" w:hAnsi="Times New Roman" w:cs="Times New Roman"/>
          <w:sz w:val="24"/>
          <w:szCs w:val="24"/>
        </w:rPr>
        <w:t>9</w:t>
      </w:r>
      <w:r w:rsidR="00C97795" w:rsidRPr="009778E2">
        <w:rPr>
          <w:rFonts w:ascii="Times New Roman" w:hAnsi="Times New Roman" w:cs="Times New Roman"/>
          <w:sz w:val="24"/>
          <w:szCs w:val="24"/>
        </w:rPr>
        <w:t xml:space="preserve"> ГРБС, администрирующих предоставление межбюджетных трансфертов, </w:t>
      </w:r>
      <w:r w:rsidR="00391B40">
        <w:rPr>
          <w:rFonts w:ascii="Times New Roman" w:hAnsi="Times New Roman" w:cs="Times New Roman"/>
          <w:sz w:val="24"/>
          <w:szCs w:val="24"/>
        </w:rPr>
        <w:t>составила менее 0,1 </w:t>
      </w:r>
      <w:r w:rsidR="00C6732C" w:rsidRPr="009778E2">
        <w:rPr>
          <w:rFonts w:ascii="Times New Roman" w:hAnsi="Times New Roman" w:cs="Times New Roman"/>
          <w:sz w:val="24"/>
          <w:szCs w:val="24"/>
        </w:rPr>
        <w:t xml:space="preserve">% от </w:t>
      </w:r>
      <w:r w:rsidR="00443313" w:rsidRPr="009778E2">
        <w:rPr>
          <w:rFonts w:ascii="Times New Roman" w:hAnsi="Times New Roman" w:cs="Times New Roman"/>
          <w:sz w:val="24"/>
          <w:szCs w:val="24"/>
        </w:rPr>
        <w:t>перечисленных средств, им присуждена высшая оценка – 1</w:t>
      </w:r>
      <w:r w:rsidR="00253483">
        <w:rPr>
          <w:rFonts w:ascii="Times New Roman" w:hAnsi="Times New Roman" w:cs="Times New Roman"/>
          <w:sz w:val="24"/>
          <w:szCs w:val="24"/>
        </w:rPr>
        <w:t xml:space="preserve"> балл</w:t>
      </w:r>
      <w:r w:rsidR="00443313" w:rsidRPr="009778E2">
        <w:rPr>
          <w:rFonts w:ascii="Times New Roman" w:hAnsi="Times New Roman" w:cs="Times New Roman"/>
          <w:sz w:val="24"/>
          <w:szCs w:val="24"/>
        </w:rPr>
        <w:t>.</w:t>
      </w:r>
    </w:p>
    <w:p w:rsidR="004B4862" w:rsidRDefault="00132863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п</w:t>
      </w:r>
      <w:r w:rsidR="004B4862" w:rsidRPr="004B4862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4B4862" w:rsidRPr="004B4862">
        <w:rPr>
          <w:rFonts w:ascii="Times New Roman" w:hAnsi="Times New Roman" w:cs="Times New Roman"/>
          <w:sz w:val="24"/>
          <w:szCs w:val="24"/>
        </w:rPr>
        <w:t xml:space="preserve"> эффективности управления кредиторской </w:t>
      </w:r>
      <w:r w:rsidR="004B4862">
        <w:rPr>
          <w:rFonts w:ascii="Times New Roman" w:hAnsi="Times New Roman" w:cs="Times New Roman"/>
          <w:sz w:val="24"/>
          <w:szCs w:val="24"/>
        </w:rPr>
        <w:t xml:space="preserve">и </w:t>
      </w:r>
      <w:r w:rsidR="004B4862" w:rsidRPr="004B4862">
        <w:rPr>
          <w:rFonts w:ascii="Times New Roman" w:hAnsi="Times New Roman" w:cs="Times New Roman"/>
          <w:sz w:val="24"/>
          <w:szCs w:val="24"/>
        </w:rPr>
        <w:t xml:space="preserve">дебиторской задолженностью </w:t>
      </w:r>
      <w:r w:rsidR="001460DD">
        <w:rPr>
          <w:rFonts w:ascii="Times New Roman" w:hAnsi="Times New Roman" w:cs="Times New Roman"/>
          <w:sz w:val="24"/>
          <w:szCs w:val="24"/>
        </w:rPr>
        <w:t xml:space="preserve">по расчетам </w:t>
      </w:r>
      <w:r w:rsidR="004B4862" w:rsidRPr="004B4862">
        <w:rPr>
          <w:rFonts w:ascii="Times New Roman" w:hAnsi="Times New Roman" w:cs="Times New Roman"/>
          <w:sz w:val="24"/>
          <w:szCs w:val="24"/>
        </w:rPr>
        <w:t>с поставщиками и подрядчиками</w:t>
      </w:r>
      <w:r w:rsidR="004B4862">
        <w:rPr>
          <w:rFonts w:ascii="Times New Roman" w:hAnsi="Times New Roman" w:cs="Times New Roman"/>
          <w:sz w:val="24"/>
          <w:szCs w:val="24"/>
        </w:rPr>
        <w:t>, в том числе</w:t>
      </w:r>
      <w:r w:rsidR="004B4862" w:rsidRPr="004B4862">
        <w:rPr>
          <w:rFonts w:ascii="Times New Roman" w:hAnsi="Times New Roman" w:cs="Times New Roman"/>
          <w:sz w:val="24"/>
          <w:szCs w:val="24"/>
        </w:rPr>
        <w:t xml:space="preserve"> просроченной </w:t>
      </w:r>
      <w:r w:rsidR="004B4862" w:rsidRPr="00671917">
        <w:rPr>
          <w:rFonts w:ascii="Times New Roman" w:hAnsi="Times New Roman" w:cs="Times New Roman"/>
          <w:sz w:val="24"/>
          <w:szCs w:val="24"/>
        </w:rPr>
        <w:t xml:space="preserve">кредиторской и дебиторской задолженностью, </w:t>
      </w:r>
      <w:r w:rsidR="00671917" w:rsidRPr="00671917">
        <w:rPr>
          <w:rFonts w:ascii="Times New Roman" w:hAnsi="Times New Roman" w:cs="Times New Roman"/>
          <w:sz w:val="24"/>
          <w:szCs w:val="24"/>
        </w:rPr>
        <w:t>в</w:t>
      </w:r>
      <w:r w:rsidR="004B4862" w:rsidRPr="00671917">
        <w:rPr>
          <w:rFonts w:ascii="Times New Roman" w:hAnsi="Times New Roman" w:cs="Times New Roman"/>
          <w:sz w:val="24"/>
          <w:szCs w:val="24"/>
        </w:rPr>
        <w:t xml:space="preserve"> </w:t>
      </w:r>
      <w:r w:rsidR="00671917" w:rsidRPr="00671917">
        <w:rPr>
          <w:rFonts w:ascii="Times New Roman" w:hAnsi="Times New Roman" w:cs="Times New Roman"/>
          <w:sz w:val="24"/>
          <w:szCs w:val="24"/>
        </w:rPr>
        <w:t xml:space="preserve">данной </w:t>
      </w:r>
      <w:r w:rsidR="004B4862" w:rsidRPr="00671917">
        <w:rPr>
          <w:rFonts w:ascii="Times New Roman" w:hAnsi="Times New Roman" w:cs="Times New Roman"/>
          <w:sz w:val="24"/>
          <w:szCs w:val="24"/>
        </w:rPr>
        <w:t xml:space="preserve">группе </w:t>
      </w:r>
      <w:r w:rsidR="00671917" w:rsidRPr="00671917">
        <w:rPr>
          <w:rFonts w:ascii="Times New Roman" w:hAnsi="Times New Roman" w:cs="Times New Roman"/>
          <w:sz w:val="24"/>
          <w:szCs w:val="24"/>
        </w:rPr>
        <w:t>имеют</w:t>
      </w:r>
      <w:r w:rsidR="00671917" w:rsidRPr="004B4862">
        <w:rPr>
          <w:rFonts w:ascii="Times New Roman" w:hAnsi="Times New Roman" w:cs="Times New Roman"/>
          <w:sz w:val="24"/>
          <w:szCs w:val="24"/>
        </w:rPr>
        <w:t xml:space="preserve"> </w:t>
      </w:r>
      <w:r w:rsidR="00671917">
        <w:rPr>
          <w:rFonts w:ascii="Times New Roman" w:hAnsi="Times New Roman" w:cs="Times New Roman"/>
          <w:sz w:val="24"/>
          <w:szCs w:val="24"/>
        </w:rPr>
        <w:t xml:space="preserve">значительный </w:t>
      </w:r>
      <w:r w:rsidR="004B4862" w:rsidRPr="004B4862">
        <w:rPr>
          <w:rFonts w:ascii="Times New Roman" w:hAnsi="Times New Roman" w:cs="Times New Roman"/>
          <w:sz w:val="24"/>
          <w:szCs w:val="24"/>
        </w:rPr>
        <w:t xml:space="preserve">удельный вес </w:t>
      </w:r>
      <w:r w:rsidR="0067191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суммар</w:t>
      </w:r>
      <w:r w:rsidRPr="00671917">
        <w:rPr>
          <w:rFonts w:ascii="Times New Roman" w:hAnsi="Times New Roman" w:cs="Times New Roman"/>
          <w:sz w:val="24"/>
          <w:szCs w:val="24"/>
        </w:rPr>
        <w:t>но</w:t>
      </w:r>
      <w:r w:rsidRPr="00D326D2">
        <w:rPr>
          <w:rFonts w:ascii="Times New Roman" w:hAnsi="Times New Roman" w:cs="Times New Roman"/>
          <w:sz w:val="24"/>
          <w:szCs w:val="24"/>
        </w:rPr>
        <w:t xml:space="preserve"> – </w:t>
      </w:r>
      <w:r w:rsidR="00671917">
        <w:rPr>
          <w:rFonts w:ascii="Times New Roman" w:hAnsi="Times New Roman" w:cs="Times New Roman"/>
          <w:sz w:val="24"/>
          <w:szCs w:val="24"/>
        </w:rPr>
        <w:t>4</w:t>
      </w:r>
      <w:r w:rsidR="00391B40">
        <w:rPr>
          <w:rFonts w:ascii="Times New Roman" w:hAnsi="Times New Roman" w:cs="Times New Roman"/>
          <w:sz w:val="24"/>
          <w:szCs w:val="24"/>
        </w:rPr>
        <w:t>0 </w:t>
      </w:r>
      <w:r w:rsidR="004B4862" w:rsidRPr="004B4862">
        <w:rPr>
          <w:rFonts w:ascii="Times New Roman" w:hAnsi="Times New Roman" w:cs="Times New Roman"/>
          <w:sz w:val="24"/>
          <w:szCs w:val="24"/>
        </w:rPr>
        <w:t>%</w:t>
      </w:r>
      <w:r w:rsidR="00671917">
        <w:rPr>
          <w:rFonts w:ascii="Times New Roman" w:hAnsi="Times New Roman" w:cs="Times New Roman"/>
          <w:sz w:val="24"/>
          <w:szCs w:val="24"/>
        </w:rPr>
        <w:t>).</w:t>
      </w:r>
      <w:r w:rsidR="00A71CA1">
        <w:rPr>
          <w:rFonts w:ascii="Times New Roman" w:hAnsi="Times New Roman" w:cs="Times New Roman"/>
          <w:sz w:val="24"/>
          <w:szCs w:val="24"/>
        </w:rPr>
        <w:t xml:space="preserve"> В случае отсутствия задолженности оценка показателя равна 1, в случае наличия – принимает значение от 0,5 до 0</w:t>
      </w:r>
      <w:r w:rsidR="00253483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A71CA1">
        <w:rPr>
          <w:rFonts w:ascii="Times New Roman" w:hAnsi="Times New Roman" w:cs="Times New Roman"/>
          <w:sz w:val="24"/>
          <w:szCs w:val="24"/>
        </w:rPr>
        <w:t>.</w:t>
      </w:r>
    </w:p>
    <w:p w:rsidR="00D13CF5" w:rsidRDefault="00AD719E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671917">
        <w:rPr>
          <w:rFonts w:ascii="Times New Roman" w:hAnsi="Times New Roman" w:cs="Times New Roman"/>
          <w:sz w:val="24"/>
          <w:szCs w:val="24"/>
        </w:rPr>
        <w:t xml:space="preserve"> </w:t>
      </w:r>
      <w:r w:rsidR="00671917" w:rsidRPr="00671917">
        <w:rPr>
          <w:rFonts w:ascii="Times New Roman" w:hAnsi="Times New Roman" w:cs="Times New Roman"/>
          <w:sz w:val="24"/>
          <w:szCs w:val="24"/>
        </w:rPr>
        <w:t>ГРБС</w:t>
      </w:r>
      <w:r w:rsidR="00671917">
        <w:rPr>
          <w:rFonts w:ascii="Times New Roman" w:hAnsi="Times New Roman" w:cs="Times New Roman"/>
          <w:sz w:val="24"/>
          <w:szCs w:val="24"/>
        </w:rPr>
        <w:t xml:space="preserve"> </w:t>
      </w:r>
      <w:r w:rsidR="00E508A7">
        <w:rPr>
          <w:rFonts w:ascii="Times New Roman" w:hAnsi="Times New Roman" w:cs="Times New Roman"/>
          <w:sz w:val="24"/>
          <w:szCs w:val="24"/>
        </w:rPr>
        <w:t>из 3</w:t>
      </w:r>
      <w:r w:rsidR="00524A77">
        <w:rPr>
          <w:rFonts w:ascii="Times New Roman" w:hAnsi="Times New Roman" w:cs="Times New Roman"/>
          <w:sz w:val="24"/>
          <w:szCs w:val="24"/>
        </w:rPr>
        <w:t>7</w:t>
      </w:r>
      <w:r w:rsidR="001460DD">
        <w:rPr>
          <w:rFonts w:ascii="Times New Roman" w:hAnsi="Times New Roman" w:cs="Times New Roman"/>
          <w:sz w:val="24"/>
          <w:szCs w:val="24"/>
        </w:rPr>
        <w:t xml:space="preserve"> </w:t>
      </w:r>
      <w:r w:rsidR="00671917" w:rsidRPr="00671917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37,8</w:t>
      </w:r>
      <w:r w:rsidR="00E508A7">
        <w:rPr>
          <w:rFonts w:ascii="Times New Roman" w:hAnsi="Times New Roman" w:cs="Times New Roman"/>
          <w:sz w:val="24"/>
          <w:szCs w:val="24"/>
        </w:rPr>
        <w:t> </w:t>
      </w:r>
      <w:r w:rsidR="00671917" w:rsidRPr="00671917">
        <w:rPr>
          <w:rFonts w:ascii="Times New Roman" w:hAnsi="Times New Roman" w:cs="Times New Roman"/>
          <w:sz w:val="24"/>
          <w:szCs w:val="24"/>
        </w:rPr>
        <w:t>% от оцениваемого</w:t>
      </w:r>
      <w:r w:rsidR="00A161C8">
        <w:rPr>
          <w:rFonts w:ascii="Times New Roman" w:hAnsi="Times New Roman" w:cs="Times New Roman"/>
          <w:sz w:val="24"/>
          <w:szCs w:val="24"/>
        </w:rPr>
        <w:t xml:space="preserve"> их</w:t>
      </w:r>
      <w:r w:rsidR="00671917" w:rsidRPr="00671917">
        <w:rPr>
          <w:rFonts w:ascii="Times New Roman" w:hAnsi="Times New Roman" w:cs="Times New Roman"/>
          <w:sz w:val="24"/>
          <w:szCs w:val="24"/>
        </w:rPr>
        <w:t xml:space="preserve"> количества)</w:t>
      </w:r>
      <w:r w:rsidR="00671917">
        <w:rPr>
          <w:rFonts w:ascii="Times New Roman" w:hAnsi="Times New Roman" w:cs="Times New Roman"/>
          <w:sz w:val="24"/>
          <w:szCs w:val="24"/>
        </w:rPr>
        <w:t xml:space="preserve"> </w:t>
      </w:r>
      <w:r w:rsidR="005E1C26">
        <w:rPr>
          <w:rFonts w:ascii="Times New Roman" w:hAnsi="Times New Roman" w:cs="Times New Roman"/>
          <w:sz w:val="24"/>
          <w:szCs w:val="24"/>
        </w:rPr>
        <w:t>н</w:t>
      </w:r>
      <w:r w:rsidR="00D326D2">
        <w:rPr>
          <w:rFonts w:ascii="Times New Roman" w:hAnsi="Times New Roman" w:cs="Times New Roman"/>
          <w:sz w:val="24"/>
          <w:szCs w:val="24"/>
        </w:rPr>
        <w:t xml:space="preserve">а </w:t>
      </w:r>
      <w:r w:rsidR="005E1C26">
        <w:rPr>
          <w:rFonts w:ascii="Times New Roman" w:hAnsi="Times New Roman" w:cs="Times New Roman"/>
          <w:sz w:val="24"/>
          <w:szCs w:val="24"/>
        </w:rPr>
        <w:t>01.01.</w:t>
      </w:r>
      <w:r w:rsidR="0073321D">
        <w:rPr>
          <w:rFonts w:ascii="Times New Roman" w:hAnsi="Times New Roman" w:cs="Times New Roman"/>
          <w:sz w:val="24"/>
          <w:szCs w:val="24"/>
        </w:rPr>
        <w:t>2021</w:t>
      </w:r>
      <w:r w:rsidR="00D326D2">
        <w:rPr>
          <w:rFonts w:ascii="Times New Roman" w:hAnsi="Times New Roman" w:cs="Times New Roman"/>
          <w:sz w:val="24"/>
          <w:szCs w:val="24"/>
        </w:rPr>
        <w:t xml:space="preserve"> год</w:t>
      </w:r>
      <w:r w:rsidR="005E1C26">
        <w:rPr>
          <w:rFonts w:ascii="Times New Roman" w:hAnsi="Times New Roman" w:cs="Times New Roman"/>
          <w:sz w:val="24"/>
          <w:szCs w:val="24"/>
        </w:rPr>
        <w:t>а</w:t>
      </w:r>
      <w:r w:rsidR="00D326D2">
        <w:rPr>
          <w:rFonts w:ascii="Times New Roman" w:hAnsi="Times New Roman" w:cs="Times New Roman"/>
          <w:sz w:val="24"/>
          <w:szCs w:val="24"/>
        </w:rPr>
        <w:t xml:space="preserve"> </w:t>
      </w:r>
      <w:r w:rsidR="00671917">
        <w:rPr>
          <w:rFonts w:ascii="Times New Roman" w:hAnsi="Times New Roman" w:cs="Times New Roman"/>
          <w:sz w:val="24"/>
          <w:szCs w:val="24"/>
        </w:rPr>
        <w:t>не имею</w:t>
      </w:r>
      <w:r w:rsidR="00D326D2">
        <w:rPr>
          <w:rFonts w:ascii="Times New Roman" w:hAnsi="Times New Roman" w:cs="Times New Roman"/>
          <w:sz w:val="24"/>
          <w:szCs w:val="24"/>
        </w:rPr>
        <w:t xml:space="preserve">т </w:t>
      </w:r>
      <w:r w:rsidR="00D326D2" w:rsidRPr="00D326D2">
        <w:rPr>
          <w:rFonts w:ascii="Times New Roman" w:hAnsi="Times New Roman" w:cs="Times New Roman"/>
          <w:sz w:val="24"/>
          <w:szCs w:val="24"/>
        </w:rPr>
        <w:t>кредиторской задолженност</w:t>
      </w:r>
      <w:r w:rsidR="00D13CF5">
        <w:rPr>
          <w:rFonts w:ascii="Times New Roman" w:hAnsi="Times New Roman" w:cs="Times New Roman"/>
          <w:sz w:val="24"/>
          <w:szCs w:val="24"/>
        </w:rPr>
        <w:t>и.</w:t>
      </w:r>
    </w:p>
    <w:p w:rsidR="00D326D2" w:rsidRDefault="00524A77" w:rsidP="008341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5</w:t>
      </w:r>
      <w:r w:rsidR="003101F6">
        <w:rPr>
          <w:rFonts w:ascii="Times New Roman" w:hAnsi="Times New Roman" w:cs="Times New Roman"/>
          <w:sz w:val="24"/>
          <w:szCs w:val="24"/>
        </w:rPr>
        <w:t xml:space="preserve"> ГРБС</w:t>
      </w:r>
      <w:r w:rsidR="00AD719E">
        <w:rPr>
          <w:rFonts w:ascii="Times New Roman" w:hAnsi="Times New Roman" w:cs="Times New Roman"/>
          <w:sz w:val="24"/>
          <w:szCs w:val="24"/>
        </w:rPr>
        <w:t xml:space="preserve"> из 17 (29,4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05EF">
        <w:rPr>
          <w:rFonts w:ascii="Times New Roman" w:hAnsi="Times New Roman" w:cs="Times New Roman"/>
          <w:sz w:val="24"/>
          <w:szCs w:val="24"/>
        </w:rPr>
        <w:t xml:space="preserve">% </w:t>
      </w:r>
      <w:r w:rsidR="00B305EF" w:rsidRPr="00671917">
        <w:rPr>
          <w:rFonts w:ascii="Times New Roman" w:hAnsi="Times New Roman" w:cs="Times New Roman"/>
          <w:sz w:val="24"/>
          <w:szCs w:val="24"/>
        </w:rPr>
        <w:t>от оцениваемого</w:t>
      </w:r>
      <w:r w:rsidR="00B305EF">
        <w:rPr>
          <w:rFonts w:ascii="Times New Roman" w:hAnsi="Times New Roman" w:cs="Times New Roman"/>
          <w:sz w:val="24"/>
          <w:szCs w:val="24"/>
        </w:rPr>
        <w:t xml:space="preserve"> их</w:t>
      </w:r>
      <w:r w:rsidR="00B305EF" w:rsidRPr="00671917">
        <w:rPr>
          <w:rFonts w:ascii="Times New Roman" w:hAnsi="Times New Roman" w:cs="Times New Roman"/>
          <w:sz w:val="24"/>
          <w:szCs w:val="24"/>
        </w:rPr>
        <w:t xml:space="preserve"> количества</w:t>
      </w:r>
      <w:r w:rsidR="00B305EF">
        <w:rPr>
          <w:rFonts w:ascii="Times New Roman" w:hAnsi="Times New Roman" w:cs="Times New Roman"/>
          <w:sz w:val="24"/>
          <w:szCs w:val="24"/>
        </w:rPr>
        <w:t>)</w:t>
      </w:r>
      <w:r w:rsidR="003101F6">
        <w:rPr>
          <w:rFonts w:ascii="Times New Roman" w:hAnsi="Times New Roman" w:cs="Times New Roman"/>
          <w:sz w:val="24"/>
          <w:szCs w:val="24"/>
        </w:rPr>
        <w:t xml:space="preserve"> нет </w:t>
      </w:r>
      <w:r w:rsidR="001460DD" w:rsidRPr="0058301C">
        <w:rPr>
          <w:rFonts w:ascii="Times New Roman" w:hAnsi="Times New Roman" w:cs="Times New Roman"/>
          <w:sz w:val="24"/>
          <w:szCs w:val="24"/>
        </w:rPr>
        <w:t>кредиторской задолженности по расчетам с поставщиками и подрядчиками государственных автономных и бюджетных учреждений</w:t>
      </w:r>
      <w:r w:rsidR="0058301C" w:rsidRPr="0058301C">
        <w:rPr>
          <w:rFonts w:ascii="Times New Roman" w:hAnsi="Times New Roman" w:cs="Times New Roman"/>
          <w:sz w:val="24"/>
          <w:szCs w:val="24"/>
        </w:rPr>
        <w:t>.</w:t>
      </w:r>
      <w:r w:rsidR="001460DD" w:rsidRPr="0058301C">
        <w:rPr>
          <w:rFonts w:ascii="Times New Roman" w:hAnsi="Times New Roman" w:cs="Times New Roman"/>
          <w:sz w:val="24"/>
          <w:szCs w:val="24"/>
        </w:rPr>
        <w:t xml:space="preserve"> Просроченная</w:t>
      </w:r>
      <w:r w:rsidR="001460DD" w:rsidRPr="001460DD">
        <w:rPr>
          <w:rFonts w:ascii="Times New Roman" w:hAnsi="Times New Roman" w:cs="Times New Roman"/>
          <w:sz w:val="24"/>
          <w:szCs w:val="24"/>
        </w:rPr>
        <w:t xml:space="preserve"> кредиторская задолженность</w:t>
      </w:r>
      <w:r w:rsidR="00193D71">
        <w:rPr>
          <w:rFonts w:ascii="Times New Roman" w:hAnsi="Times New Roman" w:cs="Times New Roman"/>
          <w:sz w:val="24"/>
          <w:szCs w:val="24"/>
        </w:rPr>
        <w:t xml:space="preserve"> по субсиди</w:t>
      </w:r>
      <w:r w:rsidR="00444CDB">
        <w:rPr>
          <w:rFonts w:ascii="Times New Roman" w:hAnsi="Times New Roman" w:cs="Times New Roman"/>
          <w:sz w:val="24"/>
          <w:szCs w:val="24"/>
        </w:rPr>
        <w:t>ям</w:t>
      </w:r>
      <w:r w:rsidR="00193D71">
        <w:rPr>
          <w:rFonts w:ascii="Times New Roman" w:hAnsi="Times New Roman" w:cs="Times New Roman"/>
          <w:sz w:val="24"/>
          <w:szCs w:val="24"/>
        </w:rPr>
        <w:t xml:space="preserve"> </w:t>
      </w:r>
      <w:r w:rsidR="00444CDB">
        <w:rPr>
          <w:rFonts w:ascii="Times New Roman" w:hAnsi="Times New Roman" w:cs="Times New Roman"/>
          <w:sz w:val="24"/>
          <w:szCs w:val="24"/>
        </w:rPr>
        <w:t>на выполнение государственных заданий</w:t>
      </w:r>
      <w:r w:rsidR="001460DD" w:rsidRPr="001460DD">
        <w:rPr>
          <w:rFonts w:ascii="Times New Roman" w:hAnsi="Times New Roman" w:cs="Times New Roman"/>
          <w:sz w:val="24"/>
          <w:szCs w:val="24"/>
        </w:rPr>
        <w:t xml:space="preserve"> отсутствует у всех автономных и бюджетных учреждений</w:t>
      </w:r>
      <w:r w:rsidR="001460DD">
        <w:rPr>
          <w:rFonts w:ascii="Times New Roman" w:hAnsi="Times New Roman" w:cs="Times New Roman"/>
          <w:sz w:val="24"/>
          <w:szCs w:val="24"/>
        </w:rPr>
        <w:t>.</w:t>
      </w:r>
    </w:p>
    <w:p w:rsidR="00E42E52" w:rsidRDefault="00043602" w:rsidP="00E42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01.01.2021</w:t>
      </w:r>
      <w:r w:rsidR="00E42E52" w:rsidRPr="005E1C2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E42E52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всех 37 ГРБС имеется д</w:t>
      </w:r>
      <w:r w:rsidRPr="00A71CA1">
        <w:rPr>
          <w:rFonts w:ascii="Times New Roman" w:hAnsi="Times New Roman" w:cs="Times New Roman"/>
          <w:sz w:val="24"/>
          <w:szCs w:val="24"/>
        </w:rPr>
        <w:t>ебиторск</w:t>
      </w:r>
      <w:r>
        <w:rPr>
          <w:rFonts w:ascii="Times New Roman" w:hAnsi="Times New Roman" w:cs="Times New Roman"/>
          <w:sz w:val="24"/>
          <w:szCs w:val="24"/>
        </w:rPr>
        <w:t xml:space="preserve">ая задолженность </w:t>
      </w:r>
      <w:r w:rsidRPr="00043602">
        <w:rPr>
          <w:rFonts w:ascii="Times New Roman" w:hAnsi="Times New Roman" w:cs="Times New Roman"/>
          <w:sz w:val="24"/>
          <w:szCs w:val="24"/>
        </w:rPr>
        <w:t>по расчетам с поставщиками и подрядчиками</w:t>
      </w:r>
      <w:r w:rsidR="00CE5F50">
        <w:rPr>
          <w:rFonts w:ascii="Times New Roman" w:hAnsi="Times New Roman" w:cs="Times New Roman"/>
          <w:sz w:val="24"/>
          <w:szCs w:val="24"/>
        </w:rPr>
        <w:t>, в связи с чем д</w:t>
      </w:r>
      <w:r w:rsidR="00E42E52">
        <w:rPr>
          <w:rFonts w:ascii="Times New Roman" w:hAnsi="Times New Roman" w:cs="Times New Roman"/>
          <w:sz w:val="24"/>
          <w:szCs w:val="24"/>
        </w:rPr>
        <w:t xml:space="preserve">анный показатель принимает значение от 0 до 0,5 баллов. </w:t>
      </w:r>
      <w:r w:rsidR="005D001A">
        <w:rPr>
          <w:rFonts w:ascii="Times New Roman" w:hAnsi="Times New Roman" w:cs="Times New Roman"/>
          <w:sz w:val="24"/>
          <w:szCs w:val="24"/>
        </w:rPr>
        <w:t>При этом 12 ГРБС имеют просроченную дебиторскую</w:t>
      </w:r>
      <w:r w:rsidR="005D001A" w:rsidRPr="005D001A">
        <w:rPr>
          <w:rFonts w:ascii="Times New Roman" w:hAnsi="Times New Roman" w:cs="Times New Roman"/>
          <w:sz w:val="24"/>
          <w:szCs w:val="24"/>
        </w:rPr>
        <w:t xml:space="preserve"> задолженность по расчетам с поставщиками </w:t>
      </w:r>
      <w:r w:rsidR="005D001A">
        <w:rPr>
          <w:rFonts w:ascii="Times New Roman" w:hAnsi="Times New Roman" w:cs="Times New Roman"/>
          <w:sz w:val="24"/>
          <w:szCs w:val="24"/>
        </w:rPr>
        <w:t xml:space="preserve">и подрядчиками по состоянию на 01.01.2021 года, </w:t>
      </w:r>
      <w:r w:rsidR="005D001A" w:rsidRPr="0016266E">
        <w:rPr>
          <w:rFonts w:ascii="Times New Roman" w:hAnsi="Times New Roman" w:cs="Times New Roman"/>
          <w:sz w:val="24"/>
          <w:szCs w:val="24"/>
        </w:rPr>
        <w:t xml:space="preserve">в результате чего им были присвоены наименьшие оценки по </w:t>
      </w:r>
      <w:r w:rsidR="005D001A" w:rsidRPr="00462125">
        <w:rPr>
          <w:rFonts w:ascii="Times New Roman" w:hAnsi="Times New Roman" w:cs="Times New Roman"/>
          <w:sz w:val="24"/>
          <w:szCs w:val="24"/>
        </w:rPr>
        <w:t>данному показателю – 0</w:t>
      </w:r>
      <w:r w:rsidR="005D001A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5D001A" w:rsidRPr="00462125">
        <w:rPr>
          <w:rFonts w:ascii="Times New Roman" w:hAnsi="Times New Roman" w:cs="Times New Roman"/>
          <w:sz w:val="24"/>
          <w:szCs w:val="24"/>
        </w:rPr>
        <w:t>.</w:t>
      </w:r>
    </w:p>
    <w:p w:rsidR="00B31268" w:rsidRDefault="00D13CF5" w:rsidP="001D03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AC71EB" w:rsidRPr="00246140">
        <w:rPr>
          <w:rFonts w:ascii="Times New Roman" w:hAnsi="Times New Roman" w:cs="Times New Roman"/>
          <w:sz w:val="24"/>
          <w:szCs w:val="24"/>
        </w:rPr>
        <w:t xml:space="preserve"> </w:t>
      </w:r>
      <w:r w:rsidR="00CE5F50">
        <w:rPr>
          <w:rFonts w:ascii="Times New Roman" w:hAnsi="Times New Roman" w:cs="Times New Roman"/>
          <w:sz w:val="24"/>
          <w:szCs w:val="24"/>
        </w:rPr>
        <w:t>16 из 17</w:t>
      </w:r>
      <w:r w:rsidR="0057086E" w:rsidRPr="00246140">
        <w:rPr>
          <w:rFonts w:ascii="Times New Roman" w:hAnsi="Times New Roman" w:cs="Times New Roman"/>
          <w:sz w:val="24"/>
          <w:szCs w:val="24"/>
        </w:rPr>
        <w:t xml:space="preserve"> </w:t>
      </w:r>
      <w:r w:rsidR="00AC71EB" w:rsidRPr="00246140">
        <w:rPr>
          <w:rFonts w:ascii="Times New Roman" w:hAnsi="Times New Roman" w:cs="Times New Roman"/>
          <w:sz w:val="24"/>
          <w:szCs w:val="24"/>
        </w:rPr>
        <w:t xml:space="preserve">ГРБС </w:t>
      </w:r>
      <w:r w:rsidR="00246140" w:rsidRPr="00246140">
        <w:rPr>
          <w:rFonts w:ascii="Times New Roman" w:hAnsi="Times New Roman" w:cs="Times New Roman"/>
          <w:sz w:val="24"/>
          <w:szCs w:val="24"/>
        </w:rPr>
        <w:t>сложилас</w:t>
      </w:r>
      <w:r w:rsidR="00AC71EB" w:rsidRPr="00246140">
        <w:rPr>
          <w:rFonts w:ascii="Times New Roman" w:hAnsi="Times New Roman" w:cs="Times New Roman"/>
          <w:sz w:val="24"/>
          <w:szCs w:val="24"/>
        </w:rPr>
        <w:t>ь дебиторская задолженность по расчетам с поставщиками и подрядчиками государственны</w:t>
      </w:r>
      <w:r w:rsidR="00444CDB">
        <w:rPr>
          <w:rFonts w:ascii="Times New Roman" w:hAnsi="Times New Roman" w:cs="Times New Roman"/>
          <w:sz w:val="24"/>
          <w:szCs w:val="24"/>
        </w:rPr>
        <w:t>ми</w:t>
      </w:r>
      <w:r w:rsidR="00AC71EB" w:rsidRPr="00246140">
        <w:rPr>
          <w:rFonts w:ascii="Times New Roman" w:hAnsi="Times New Roman" w:cs="Times New Roman"/>
          <w:sz w:val="24"/>
          <w:szCs w:val="24"/>
        </w:rPr>
        <w:t xml:space="preserve"> автономны</w:t>
      </w:r>
      <w:r w:rsidR="00444CDB">
        <w:rPr>
          <w:rFonts w:ascii="Times New Roman" w:hAnsi="Times New Roman" w:cs="Times New Roman"/>
          <w:sz w:val="24"/>
          <w:szCs w:val="24"/>
        </w:rPr>
        <w:t>ми</w:t>
      </w:r>
      <w:r w:rsidR="00AC71EB" w:rsidRPr="00246140">
        <w:rPr>
          <w:rFonts w:ascii="Times New Roman" w:hAnsi="Times New Roman" w:cs="Times New Roman"/>
          <w:sz w:val="24"/>
          <w:szCs w:val="24"/>
        </w:rPr>
        <w:t xml:space="preserve"> и бюджетны</w:t>
      </w:r>
      <w:r w:rsidR="00444CDB">
        <w:rPr>
          <w:rFonts w:ascii="Times New Roman" w:hAnsi="Times New Roman" w:cs="Times New Roman"/>
          <w:sz w:val="24"/>
          <w:szCs w:val="24"/>
        </w:rPr>
        <w:t>ми</w:t>
      </w:r>
      <w:r w:rsidR="00AC71EB" w:rsidRPr="00246140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9C5A0E">
        <w:rPr>
          <w:rFonts w:ascii="Times New Roman" w:hAnsi="Times New Roman" w:cs="Times New Roman"/>
          <w:sz w:val="24"/>
          <w:szCs w:val="24"/>
        </w:rPr>
        <w:t>ями.</w:t>
      </w:r>
      <w:r w:rsidR="00B31268">
        <w:rPr>
          <w:rFonts w:ascii="Times New Roman" w:hAnsi="Times New Roman" w:cs="Times New Roman"/>
          <w:sz w:val="24"/>
          <w:szCs w:val="24"/>
        </w:rPr>
        <w:t xml:space="preserve"> Размер показателя по данным ГРБС принимает значение от 0 до 0,5 баллов.</w:t>
      </w:r>
      <w:r w:rsidR="009C5A0E">
        <w:rPr>
          <w:rFonts w:ascii="Times New Roman" w:hAnsi="Times New Roman" w:cs="Times New Roman"/>
          <w:sz w:val="24"/>
          <w:szCs w:val="24"/>
        </w:rPr>
        <w:t xml:space="preserve"> </w:t>
      </w:r>
      <w:r w:rsidR="001D031E">
        <w:rPr>
          <w:rFonts w:ascii="Times New Roman" w:hAnsi="Times New Roman" w:cs="Times New Roman"/>
          <w:sz w:val="24"/>
          <w:szCs w:val="24"/>
        </w:rPr>
        <w:t>У подведомственного автономного учреждения Службы</w:t>
      </w:r>
      <w:r w:rsidR="001D031E" w:rsidRPr="001D031E">
        <w:rPr>
          <w:rFonts w:ascii="Times New Roman" w:hAnsi="Times New Roman" w:cs="Times New Roman"/>
          <w:sz w:val="24"/>
          <w:szCs w:val="24"/>
        </w:rPr>
        <w:t xml:space="preserve"> жилищного и строительного надзора Ханты-Мансийского автономного округа – Югры</w:t>
      </w:r>
      <w:r w:rsidR="001D031E">
        <w:rPr>
          <w:rFonts w:ascii="Times New Roman" w:hAnsi="Times New Roman" w:cs="Times New Roman"/>
          <w:sz w:val="24"/>
          <w:szCs w:val="24"/>
        </w:rPr>
        <w:t xml:space="preserve"> отсутствует </w:t>
      </w:r>
      <w:r w:rsidR="001D031E" w:rsidRPr="00246140">
        <w:rPr>
          <w:rFonts w:ascii="Times New Roman" w:hAnsi="Times New Roman" w:cs="Times New Roman"/>
          <w:sz w:val="24"/>
          <w:szCs w:val="24"/>
        </w:rPr>
        <w:t>дебиторская задолженность</w:t>
      </w:r>
      <w:r w:rsidR="001D031E">
        <w:rPr>
          <w:rFonts w:ascii="Times New Roman" w:hAnsi="Times New Roman" w:cs="Times New Roman"/>
          <w:sz w:val="24"/>
          <w:szCs w:val="24"/>
        </w:rPr>
        <w:t xml:space="preserve">, в связи с чем данный ГРБС получает оценку 1 балл. </w:t>
      </w:r>
      <w:r w:rsidR="00B31268">
        <w:rPr>
          <w:rFonts w:ascii="Times New Roman" w:hAnsi="Times New Roman" w:cs="Times New Roman"/>
          <w:sz w:val="24"/>
          <w:szCs w:val="24"/>
        </w:rPr>
        <w:t>У</w:t>
      </w:r>
      <w:r w:rsidR="00CE5F50">
        <w:rPr>
          <w:rFonts w:ascii="Times New Roman" w:hAnsi="Times New Roman" w:cs="Times New Roman"/>
          <w:sz w:val="24"/>
          <w:szCs w:val="24"/>
        </w:rPr>
        <w:t xml:space="preserve"> 2</w:t>
      </w:r>
      <w:r w:rsidR="00B305EF">
        <w:rPr>
          <w:rFonts w:ascii="Times New Roman" w:hAnsi="Times New Roman" w:cs="Times New Roman"/>
          <w:sz w:val="24"/>
          <w:szCs w:val="24"/>
        </w:rPr>
        <w:t xml:space="preserve"> ГРБС</w:t>
      </w:r>
      <w:r w:rsidR="00B31268">
        <w:rPr>
          <w:rFonts w:ascii="Times New Roman" w:hAnsi="Times New Roman" w:cs="Times New Roman"/>
          <w:sz w:val="24"/>
          <w:szCs w:val="24"/>
        </w:rPr>
        <w:t>, имеющих подведомственные государственные автономные и бюджетные учреждения,</w:t>
      </w:r>
      <w:r w:rsidR="00B305EF">
        <w:rPr>
          <w:rFonts w:ascii="Times New Roman" w:hAnsi="Times New Roman" w:cs="Times New Roman"/>
          <w:sz w:val="24"/>
          <w:szCs w:val="24"/>
        </w:rPr>
        <w:t xml:space="preserve"> </w:t>
      </w:r>
      <w:r w:rsidR="00B31268">
        <w:rPr>
          <w:rFonts w:ascii="Times New Roman" w:hAnsi="Times New Roman" w:cs="Times New Roman"/>
          <w:sz w:val="24"/>
          <w:szCs w:val="24"/>
        </w:rPr>
        <w:t>образовалась</w:t>
      </w:r>
      <w:r w:rsidR="00B305EF">
        <w:rPr>
          <w:rFonts w:ascii="Times New Roman" w:hAnsi="Times New Roman" w:cs="Times New Roman"/>
          <w:sz w:val="24"/>
          <w:szCs w:val="24"/>
        </w:rPr>
        <w:t xml:space="preserve"> </w:t>
      </w:r>
      <w:r w:rsidR="00DC715B">
        <w:rPr>
          <w:rFonts w:ascii="Times New Roman" w:hAnsi="Times New Roman" w:cs="Times New Roman"/>
          <w:sz w:val="24"/>
          <w:szCs w:val="24"/>
        </w:rPr>
        <w:t>просроченная</w:t>
      </w:r>
      <w:r w:rsidR="00B305EF" w:rsidRPr="00B305EF">
        <w:rPr>
          <w:rFonts w:ascii="Times New Roman" w:hAnsi="Times New Roman" w:cs="Times New Roman"/>
          <w:sz w:val="24"/>
          <w:szCs w:val="24"/>
        </w:rPr>
        <w:t xml:space="preserve"> </w:t>
      </w:r>
      <w:r w:rsidR="00A22733" w:rsidRPr="00B305EF">
        <w:rPr>
          <w:rFonts w:ascii="Times New Roman" w:hAnsi="Times New Roman" w:cs="Times New Roman"/>
          <w:sz w:val="24"/>
          <w:szCs w:val="24"/>
        </w:rPr>
        <w:t>дебиторск</w:t>
      </w:r>
      <w:r w:rsidR="00DC715B">
        <w:rPr>
          <w:rFonts w:ascii="Times New Roman" w:hAnsi="Times New Roman" w:cs="Times New Roman"/>
          <w:sz w:val="24"/>
          <w:szCs w:val="24"/>
        </w:rPr>
        <w:t>ая</w:t>
      </w:r>
      <w:r w:rsidR="00A22733" w:rsidRPr="00B305EF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DC715B">
        <w:rPr>
          <w:rFonts w:ascii="Times New Roman" w:hAnsi="Times New Roman" w:cs="Times New Roman"/>
          <w:sz w:val="24"/>
          <w:szCs w:val="24"/>
        </w:rPr>
        <w:t>ь</w:t>
      </w:r>
      <w:r w:rsidR="00A22733" w:rsidRPr="00B305EF">
        <w:rPr>
          <w:rFonts w:ascii="Times New Roman" w:hAnsi="Times New Roman" w:cs="Times New Roman"/>
          <w:sz w:val="24"/>
          <w:szCs w:val="24"/>
        </w:rPr>
        <w:t xml:space="preserve"> по расчетам с поставщиками и подрядчиками</w:t>
      </w:r>
      <w:r w:rsidR="00DC715B">
        <w:rPr>
          <w:rFonts w:ascii="Times New Roman" w:hAnsi="Times New Roman" w:cs="Times New Roman"/>
          <w:sz w:val="24"/>
          <w:szCs w:val="24"/>
        </w:rPr>
        <w:t>.</w:t>
      </w:r>
      <w:r w:rsidR="00B305EF" w:rsidRPr="00B305EF">
        <w:rPr>
          <w:rFonts w:ascii="Times New Roman" w:hAnsi="Times New Roman" w:cs="Times New Roman"/>
          <w:sz w:val="24"/>
          <w:szCs w:val="24"/>
        </w:rPr>
        <w:t xml:space="preserve"> </w:t>
      </w:r>
      <w:r w:rsidR="00B31268">
        <w:rPr>
          <w:rFonts w:ascii="Times New Roman" w:hAnsi="Times New Roman" w:cs="Times New Roman"/>
          <w:sz w:val="24"/>
          <w:szCs w:val="24"/>
        </w:rPr>
        <w:t>Оценка показателя у этих ГРБС – 0 баллов.</w:t>
      </w:r>
    </w:p>
    <w:p w:rsidR="00AD5C76" w:rsidRDefault="00341FE2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FE2">
        <w:rPr>
          <w:rFonts w:ascii="Times New Roman" w:hAnsi="Times New Roman" w:cs="Times New Roman"/>
          <w:sz w:val="24"/>
          <w:szCs w:val="24"/>
        </w:rPr>
        <w:t xml:space="preserve">Для ГРБС, осуществляющих функции и полномочия учредителя в отношении подведомственных им государственных бюджетных и автономных учреждений, </w:t>
      </w:r>
      <w:r w:rsidRPr="004B4862">
        <w:rPr>
          <w:rFonts w:ascii="Times New Roman" w:hAnsi="Times New Roman" w:cs="Times New Roman"/>
          <w:sz w:val="24"/>
          <w:szCs w:val="24"/>
        </w:rPr>
        <w:lastRenderedPageBreak/>
        <w:t>дополнительно оценивал</w:t>
      </w:r>
      <w:r w:rsidR="004B4862" w:rsidRPr="004B4862">
        <w:rPr>
          <w:rFonts w:ascii="Times New Roman" w:hAnsi="Times New Roman" w:cs="Times New Roman"/>
          <w:sz w:val="24"/>
          <w:szCs w:val="24"/>
        </w:rPr>
        <w:t>а</w:t>
      </w:r>
      <w:r w:rsidRPr="004B4862">
        <w:rPr>
          <w:rFonts w:ascii="Times New Roman" w:hAnsi="Times New Roman" w:cs="Times New Roman"/>
          <w:sz w:val="24"/>
          <w:szCs w:val="24"/>
        </w:rPr>
        <w:t>с</w:t>
      </w:r>
      <w:r w:rsidR="004B4862" w:rsidRPr="004B4862">
        <w:rPr>
          <w:rFonts w:ascii="Times New Roman" w:hAnsi="Times New Roman" w:cs="Times New Roman"/>
          <w:sz w:val="24"/>
          <w:szCs w:val="24"/>
        </w:rPr>
        <w:t>ь</w:t>
      </w:r>
      <w:r w:rsidRPr="004B4862">
        <w:rPr>
          <w:rFonts w:ascii="Times New Roman" w:hAnsi="Times New Roman" w:cs="Times New Roman"/>
          <w:sz w:val="24"/>
          <w:szCs w:val="24"/>
        </w:rPr>
        <w:t xml:space="preserve"> </w:t>
      </w:r>
      <w:r w:rsidR="004B4862" w:rsidRPr="004B4862">
        <w:rPr>
          <w:rFonts w:ascii="Times New Roman" w:hAnsi="Times New Roman" w:cs="Times New Roman"/>
          <w:sz w:val="24"/>
          <w:szCs w:val="24"/>
        </w:rPr>
        <w:t>доля расходов за счет средств от приносящей доход деятельности в общих расходах бюджетных и автономных учреждений</w:t>
      </w:r>
      <w:r w:rsidR="004B4862">
        <w:rPr>
          <w:rFonts w:ascii="Times New Roman" w:hAnsi="Times New Roman" w:cs="Times New Roman"/>
          <w:sz w:val="24"/>
          <w:szCs w:val="24"/>
        </w:rPr>
        <w:t>.</w:t>
      </w:r>
    </w:p>
    <w:p w:rsidR="00246140" w:rsidRDefault="00012D73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3</w:t>
      </w:r>
      <w:r w:rsidR="00246140">
        <w:rPr>
          <w:rFonts w:ascii="Times New Roman" w:hAnsi="Times New Roman" w:cs="Times New Roman"/>
          <w:sz w:val="24"/>
          <w:szCs w:val="24"/>
        </w:rPr>
        <w:t xml:space="preserve"> ГРБС</w:t>
      </w:r>
      <w:r>
        <w:rPr>
          <w:rFonts w:ascii="Times New Roman" w:hAnsi="Times New Roman" w:cs="Times New Roman"/>
          <w:sz w:val="24"/>
          <w:szCs w:val="24"/>
        </w:rPr>
        <w:t xml:space="preserve"> из 17</w:t>
      </w:r>
      <w:r w:rsidR="00246140">
        <w:rPr>
          <w:rFonts w:ascii="Times New Roman" w:hAnsi="Times New Roman" w:cs="Times New Roman"/>
          <w:sz w:val="24"/>
          <w:szCs w:val="24"/>
        </w:rPr>
        <w:t xml:space="preserve"> </w:t>
      </w:r>
      <w:r w:rsidR="002D7B61" w:rsidRPr="002D7B6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17,6</w:t>
      </w:r>
      <w:r w:rsidR="00927D02">
        <w:rPr>
          <w:rFonts w:ascii="Times New Roman" w:hAnsi="Times New Roman" w:cs="Times New Roman"/>
          <w:sz w:val="24"/>
          <w:szCs w:val="24"/>
        </w:rPr>
        <w:t xml:space="preserve"> </w:t>
      </w:r>
      <w:r w:rsidR="002D7B61" w:rsidRPr="002D7B61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9C5A0E">
        <w:rPr>
          <w:rFonts w:ascii="Times New Roman" w:hAnsi="Times New Roman" w:cs="Times New Roman"/>
          <w:sz w:val="24"/>
          <w:szCs w:val="24"/>
        </w:rPr>
        <w:t xml:space="preserve">их </w:t>
      </w:r>
      <w:r w:rsidR="002D7B61" w:rsidRPr="002D7B61">
        <w:rPr>
          <w:rFonts w:ascii="Times New Roman" w:hAnsi="Times New Roman" w:cs="Times New Roman"/>
          <w:sz w:val="24"/>
          <w:szCs w:val="24"/>
        </w:rPr>
        <w:t xml:space="preserve">количества) </w:t>
      </w:r>
      <w:r w:rsidR="00246140">
        <w:rPr>
          <w:rFonts w:ascii="Times New Roman" w:hAnsi="Times New Roman" w:cs="Times New Roman"/>
          <w:sz w:val="24"/>
          <w:szCs w:val="24"/>
        </w:rPr>
        <w:t>доля та</w:t>
      </w:r>
      <w:r w:rsidR="00BA7838">
        <w:rPr>
          <w:rFonts w:ascii="Times New Roman" w:hAnsi="Times New Roman" w:cs="Times New Roman"/>
          <w:sz w:val="24"/>
          <w:szCs w:val="24"/>
        </w:rPr>
        <w:t>ких расходов составила более 10 </w:t>
      </w:r>
      <w:r w:rsidR="00246140">
        <w:rPr>
          <w:rFonts w:ascii="Times New Roman" w:hAnsi="Times New Roman" w:cs="Times New Roman"/>
          <w:sz w:val="24"/>
          <w:szCs w:val="24"/>
        </w:rPr>
        <w:t>%</w:t>
      </w:r>
      <w:r w:rsidR="00246140" w:rsidRPr="00246140">
        <w:t xml:space="preserve"> </w:t>
      </w:r>
      <w:r w:rsidR="00246140" w:rsidRPr="00246140">
        <w:rPr>
          <w:rFonts w:ascii="Times New Roman" w:hAnsi="Times New Roman" w:cs="Times New Roman"/>
          <w:sz w:val="24"/>
          <w:szCs w:val="24"/>
        </w:rPr>
        <w:t>в общих расходах</w:t>
      </w:r>
      <w:r w:rsidR="009C5A0E">
        <w:rPr>
          <w:rFonts w:ascii="Times New Roman" w:hAnsi="Times New Roman" w:cs="Times New Roman"/>
          <w:sz w:val="24"/>
          <w:szCs w:val="24"/>
        </w:rPr>
        <w:t xml:space="preserve">, им соответственно </w:t>
      </w:r>
      <w:r w:rsidR="002D7B61">
        <w:rPr>
          <w:rFonts w:ascii="Times New Roman" w:hAnsi="Times New Roman" w:cs="Times New Roman"/>
          <w:sz w:val="24"/>
          <w:szCs w:val="24"/>
        </w:rPr>
        <w:t>был</w:t>
      </w:r>
      <w:r w:rsidR="00BA7838">
        <w:rPr>
          <w:rFonts w:ascii="Times New Roman" w:hAnsi="Times New Roman" w:cs="Times New Roman"/>
          <w:sz w:val="24"/>
          <w:szCs w:val="24"/>
        </w:rPr>
        <w:t>а присвоена высшая оценка – 1</w:t>
      </w:r>
      <w:r w:rsidR="009C5A0E">
        <w:rPr>
          <w:rFonts w:ascii="Times New Roman" w:hAnsi="Times New Roman" w:cs="Times New Roman"/>
          <w:sz w:val="24"/>
          <w:szCs w:val="24"/>
        </w:rPr>
        <w:t xml:space="preserve"> балл. У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="002D7B61">
        <w:rPr>
          <w:rFonts w:ascii="Times New Roman" w:hAnsi="Times New Roman" w:cs="Times New Roman"/>
          <w:sz w:val="24"/>
          <w:szCs w:val="24"/>
        </w:rPr>
        <w:t xml:space="preserve"> ГРБС</w:t>
      </w:r>
      <w:r>
        <w:rPr>
          <w:rFonts w:ascii="Times New Roman" w:hAnsi="Times New Roman" w:cs="Times New Roman"/>
          <w:sz w:val="24"/>
          <w:szCs w:val="24"/>
        </w:rPr>
        <w:t xml:space="preserve"> (70,6</w:t>
      </w:r>
      <w:r w:rsidR="00927D02">
        <w:rPr>
          <w:rFonts w:ascii="Times New Roman" w:hAnsi="Times New Roman" w:cs="Times New Roman"/>
          <w:sz w:val="24"/>
          <w:szCs w:val="24"/>
        </w:rPr>
        <w:t xml:space="preserve"> % </w:t>
      </w:r>
      <w:r w:rsidR="00927D02" w:rsidRPr="002D7B61">
        <w:rPr>
          <w:rFonts w:ascii="Times New Roman" w:hAnsi="Times New Roman" w:cs="Times New Roman"/>
          <w:sz w:val="24"/>
          <w:szCs w:val="24"/>
        </w:rPr>
        <w:t xml:space="preserve">от оцениваемого </w:t>
      </w:r>
      <w:r w:rsidR="00927D02">
        <w:rPr>
          <w:rFonts w:ascii="Times New Roman" w:hAnsi="Times New Roman" w:cs="Times New Roman"/>
          <w:sz w:val="24"/>
          <w:szCs w:val="24"/>
        </w:rPr>
        <w:t xml:space="preserve">их </w:t>
      </w:r>
      <w:r w:rsidR="00927D02" w:rsidRPr="002D7B61">
        <w:rPr>
          <w:rFonts w:ascii="Times New Roman" w:hAnsi="Times New Roman" w:cs="Times New Roman"/>
          <w:sz w:val="24"/>
          <w:szCs w:val="24"/>
        </w:rPr>
        <w:t>количества</w:t>
      </w:r>
      <w:r w:rsidR="00927D02">
        <w:rPr>
          <w:rFonts w:ascii="Times New Roman" w:hAnsi="Times New Roman" w:cs="Times New Roman"/>
          <w:sz w:val="24"/>
          <w:szCs w:val="24"/>
        </w:rPr>
        <w:t>)</w:t>
      </w:r>
      <w:r w:rsidR="002D7B61">
        <w:rPr>
          <w:rFonts w:ascii="Times New Roman" w:hAnsi="Times New Roman" w:cs="Times New Roman"/>
          <w:sz w:val="24"/>
          <w:szCs w:val="24"/>
        </w:rPr>
        <w:t xml:space="preserve"> </w:t>
      </w:r>
      <w:r w:rsidR="002D7B61" w:rsidRPr="002D7B61">
        <w:rPr>
          <w:rFonts w:ascii="Times New Roman" w:hAnsi="Times New Roman" w:cs="Times New Roman"/>
          <w:sz w:val="24"/>
          <w:szCs w:val="24"/>
        </w:rPr>
        <w:t>доля расходов за счет средств от приносящей доход деятельности</w:t>
      </w:r>
      <w:r w:rsidR="00BA7838">
        <w:rPr>
          <w:rFonts w:ascii="Times New Roman" w:hAnsi="Times New Roman" w:cs="Times New Roman"/>
          <w:sz w:val="24"/>
          <w:szCs w:val="24"/>
        </w:rPr>
        <w:t xml:space="preserve"> составила менее 5 </w:t>
      </w:r>
      <w:r w:rsidR="00C9408A">
        <w:rPr>
          <w:rFonts w:ascii="Times New Roman" w:hAnsi="Times New Roman" w:cs="Times New Roman"/>
          <w:sz w:val="24"/>
          <w:szCs w:val="24"/>
        </w:rPr>
        <w:t>%</w:t>
      </w:r>
      <w:r w:rsidR="002D7B61">
        <w:rPr>
          <w:rFonts w:ascii="Times New Roman" w:hAnsi="Times New Roman" w:cs="Times New Roman"/>
          <w:sz w:val="24"/>
          <w:szCs w:val="24"/>
        </w:rPr>
        <w:t>,</w:t>
      </w:r>
      <w:r w:rsidR="009C5A0E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2D7B61">
        <w:rPr>
          <w:rFonts w:ascii="Times New Roman" w:hAnsi="Times New Roman" w:cs="Times New Roman"/>
          <w:sz w:val="24"/>
          <w:szCs w:val="24"/>
        </w:rPr>
        <w:t xml:space="preserve"> таким ГРБС присвоена минимальная оценка – 0</w:t>
      </w:r>
      <w:r w:rsidR="009C5A0E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2D7B61">
        <w:rPr>
          <w:rFonts w:ascii="Times New Roman" w:hAnsi="Times New Roman" w:cs="Times New Roman"/>
          <w:sz w:val="24"/>
          <w:szCs w:val="24"/>
        </w:rPr>
        <w:t>.</w:t>
      </w:r>
      <w:r w:rsidR="00274A7D">
        <w:rPr>
          <w:rFonts w:ascii="Times New Roman" w:hAnsi="Times New Roman" w:cs="Times New Roman"/>
          <w:sz w:val="24"/>
          <w:szCs w:val="24"/>
        </w:rPr>
        <w:t xml:space="preserve"> Остальные ГРБС получили 0,5 балла.</w:t>
      </w:r>
    </w:p>
    <w:p w:rsidR="00BE3EB1" w:rsidRDefault="00BE3EB1" w:rsidP="00602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613" w:rsidRDefault="006F1613" w:rsidP="00602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5C0">
        <w:rPr>
          <w:rFonts w:ascii="Times New Roman" w:hAnsi="Times New Roman" w:cs="Times New Roman"/>
          <w:b/>
          <w:sz w:val="28"/>
          <w:szCs w:val="28"/>
        </w:rPr>
        <w:t>Исполнение бюджета в части расходов</w:t>
      </w:r>
    </w:p>
    <w:p w:rsidR="00BE3EB1" w:rsidRPr="000A25C0" w:rsidRDefault="00BE3EB1" w:rsidP="006025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6CD" w:rsidRPr="00643E7C" w:rsidRDefault="00995147" w:rsidP="00274A7D">
      <w:pPr>
        <w:spacing w:line="360" w:lineRule="auto"/>
        <w:ind w:left="-851" w:right="-5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69544D1" wp14:editId="5CDF67E2">
            <wp:extent cx="6798310" cy="5088834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B191B" w:rsidRDefault="00FB191B" w:rsidP="00FB19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B191B" w:rsidRPr="00135F96" w:rsidRDefault="00FB191B" w:rsidP="00FB19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35F96">
        <w:rPr>
          <w:rFonts w:ascii="Times New Roman" w:hAnsi="Times New Roman" w:cs="Times New Roman"/>
          <w:sz w:val="24"/>
          <w:szCs w:val="24"/>
          <w:u w:val="single"/>
        </w:rPr>
        <w:t>Средняя оценка</w:t>
      </w:r>
      <w:r w:rsidRPr="00135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качества финансового менеджмента по группе показателей</w:t>
      </w:r>
      <w:r w:rsidRPr="00135F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</w:t>
      </w:r>
      <w:r w:rsidRPr="00135F96">
        <w:rPr>
          <w:rFonts w:ascii="Times New Roman" w:hAnsi="Times New Roman" w:cs="Times New Roman"/>
          <w:sz w:val="24"/>
          <w:szCs w:val="24"/>
        </w:rPr>
        <w:t>сполнени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35F96">
        <w:rPr>
          <w:rFonts w:ascii="Times New Roman" w:hAnsi="Times New Roman" w:cs="Times New Roman"/>
          <w:sz w:val="24"/>
          <w:szCs w:val="24"/>
        </w:rPr>
        <w:t xml:space="preserve"> бюджета в части расходов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35F96">
        <w:rPr>
          <w:rFonts w:ascii="Times New Roman" w:hAnsi="Times New Roman" w:cs="Times New Roman"/>
          <w:sz w:val="24"/>
          <w:szCs w:val="24"/>
        </w:rPr>
        <w:t xml:space="preserve"> по 3</w:t>
      </w:r>
      <w:r>
        <w:rPr>
          <w:rFonts w:ascii="Times New Roman" w:hAnsi="Times New Roman" w:cs="Times New Roman"/>
          <w:sz w:val="24"/>
          <w:szCs w:val="24"/>
        </w:rPr>
        <w:t xml:space="preserve">7 оцениваемым ГРБС </w:t>
      </w:r>
      <w:r w:rsidRPr="00942C5C">
        <w:rPr>
          <w:rFonts w:ascii="Times New Roman" w:hAnsi="Times New Roman" w:cs="Times New Roman"/>
          <w:sz w:val="24"/>
          <w:szCs w:val="24"/>
        </w:rPr>
        <w:t xml:space="preserve">с учетом удельного веса показателей данной группы составила </w:t>
      </w:r>
      <w:r>
        <w:rPr>
          <w:rFonts w:ascii="Times New Roman" w:hAnsi="Times New Roman" w:cs="Times New Roman"/>
          <w:sz w:val="24"/>
          <w:szCs w:val="24"/>
        </w:rPr>
        <w:t>79,5 балла</w:t>
      </w:r>
      <w:r w:rsidRPr="00942C5C">
        <w:rPr>
          <w:rFonts w:ascii="Times New Roman" w:hAnsi="Times New Roman" w:cs="Times New Roman"/>
          <w:sz w:val="24"/>
          <w:szCs w:val="24"/>
        </w:rPr>
        <w:t xml:space="preserve"> по 100-балльной шкале</w:t>
      </w:r>
      <w:r w:rsidRPr="00135F9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191B" w:rsidRPr="00F96AC7" w:rsidRDefault="00FB191B" w:rsidP="00FB19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23</w:t>
      </w:r>
      <w:r w:rsidRPr="001130A0">
        <w:rPr>
          <w:rFonts w:ascii="Times New Roman" w:hAnsi="Times New Roman" w:cs="Times New Roman"/>
          <w:sz w:val="24"/>
          <w:szCs w:val="24"/>
        </w:rPr>
        <w:t xml:space="preserve"> ГРБС, или </w:t>
      </w:r>
      <w:r>
        <w:rPr>
          <w:rFonts w:ascii="Times New Roman" w:hAnsi="Times New Roman" w:cs="Times New Roman"/>
          <w:sz w:val="24"/>
          <w:szCs w:val="24"/>
        </w:rPr>
        <w:t>62,2</w:t>
      </w:r>
      <w:r w:rsidRPr="001130A0">
        <w:rPr>
          <w:rFonts w:ascii="Times New Roman" w:hAnsi="Times New Roman" w:cs="Times New Roman"/>
          <w:sz w:val="24"/>
          <w:szCs w:val="24"/>
        </w:rPr>
        <w:t xml:space="preserve"> % от оцениваемого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1130A0">
        <w:rPr>
          <w:rFonts w:ascii="Times New Roman" w:hAnsi="Times New Roman" w:cs="Times New Roman"/>
          <w:sz w:val="24"/>
          <w:szCs w:val="24"/>
        </w:rPr>
        <w:t>количества, имеют оценки качества</w:t>
      </w:r>
      <w:r w:rsidRPr="00F96AC7">
        <w:rPr>
          <w:rFonts w:ascii="Times New Roman" w:hAnsi="Times New Roman" w:cs="Times New Roman"/>
          <w:sz w:val="24"/>
          <w:szCs w:val="24"/>
        </w:rPr>
        <w:t xml:space="preserve"> финансового менеджмента по группе показателей «Исполнение бюджета в части расходов» выше средней оценки, у 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F96AC7">
        <w:rPr>
          <w:rFonts w:ascii="Times New Roman" w:hAnsi="Times New Roman" w:cs="Times New Roman"/>
          <w:sz w:val="24"/>
          <w:szCs w:val="24"/>
        </w:rPr>
        <w:t xml:space="preserve"> – индивидуальный балл ниже среднего.</w:t>
      </w:r>
    </w:p>
    <w:p w:rsidR="00FB191B" w:rsidRDefault="00FB191B" w:rsidP="00FB19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F5F">
        <w:rPr>
          <w:rFonts w:ascii="Times New Roman" w:hAnsi="Times New Roman" w:cs="Times New Roman"/>
          <w:sz w:val="24"/>
          <w:szCs w:val="24"/>
        </w:rPr>
        <w:t>Наилучшие оценки качества исполнения бюджета в части расходов имеют следующие ГРБС:</w:t>
      </w:r>
    </w:p>
    <w:p w:rsidR="00FB191B" w:rsidRPr="006C293D" w:rsidRDefault="00FB191B" w:rsidP="00FB191B">
      <w:pPr>
        <w:pStyle w:val="a3"/>
        <w:numPr>
          <w:ilvl w:val="0"/>
          <w:numId w:val="43"/>
        </w:numPr>
        <w:spacing w:line="360" w:lineRule="auto"/>
        <w:ind w:left="0" w:firstLine="0"/>
      </w:pPr>
      <w:r w:rsidRPr="00DA2516">
        <w:t>Служба по делам архивов Ханты-Мансийского автономного округа – Югры</w:t>
      </w:r>
      <w:r w:rsidRPr="008B7EE1">
        <w:t xml:space="preserve"> </w:t>
      </w:r>
      <w:r>
        <w:t xml:space="preserve">         </w:t>
      </w:r>
      <w:r w:rsidRPr="008B7EE1">
        <w:t>(</w:t>
      </w:r>
      <w:r>
        <w:t xml:space="preserve">96,4 </w:t>
      </w:r>
      <w:r w:rsidRPr="008B7EE1">
        <w:t>балл</w:t>
      </w:r>
      <w:r>
        <w:t>а);</w:t>
      </w:r>
    </w:p>
    <w:p w:rsidR="00FB191B" w:rsidRDefault="00FB191B" w:rsidP="00FB191B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2516">
        <w:t>Департамент внутренней политики Ханты-Мансийского автономного округа – Югры</w:t>
      </w:r>
      <w:r>
        <w:t xml:space="preserve"> </w:t>
      </w:r>
      <w:r w:rsidRPr="008B7EE1">
        <w:t>(9</w:t>
      </w:r>
      <w:r>
        <w:t>5,8 балла</w:t>
      </w:r>
      <w:r w:rsidRPr="008B7EE1">
        <w:t>);</w:t>
      </w:r>
    </w:p>
    <w:p w:rsidR="00FB191B" w:rsidRPr="008B7EE1" w:rsidRDefault="00FB191B" w:rsidP="00FB191B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2516">
        <w:t>Избирательная комиссия Ханты-Мансийского автономного округа – Югры</w:t>
      </w:r>
      <w:r w:rsidRPr="000137E5">
        <w:t xml:space="preserve"> </w:t>
      </w:r>
      <w:r>
        <w:t xml:space="preserve">          (95,1 балла).</w:t>
      </w:r>
    </w:p>
    <w:p w:rsidR="00135F96" w:rsidRPr="0042217E" w:rsidRDefault="00135F96" w:rsidP="003D07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3E">
        <w:rPr>
          <w:rFonts w:ascii="Times New Roman" w:hAnsi="Times New Roman" w:cs="Times New Roman"/>
          <w:sz w:val="24"/>
          <w:szCs w:val="24"/>
        </w:rPr>
        <w:t>Наи</w:t>
      </w:r>
      <w:r w:rsidR="003B7FD4" w:rsidRPr="005B6B3E">
        <w:rPr>
          <w:rFonts w:ascii="Times New Roman" w:hAnsi="Times New Roman" w:cs="Times New Roman"/>
          <w:sz w:val="24"/>
          <w:szCs w:val="24"/>
        </w:rPr>
        <w:t>мень</w:t>
      </w:r>
      <w:r w:rsidRPr="005B6B3E">
        <w:rPr>
          <w:rFonts w:ascii="Times New Roman" w:hAnsi="Times New Roman" w:cs="Times New Roman"/>
          <w:sz w:val="24"/>
          <w:szCs w:val="24"/>
        </w:rPr>
        <w:t xml:space="preserve">шие оценки качества исполнения бюджета в части расходов имеют </w:t>
      </w:r>
      <w:r w:rsidRPr="0042217E">
        <w:rPr>
          <w:rFonts w:ascii="Times New Roman" w:hAnsi="Times New Roman" w:cs="Times New Roman"/>
          <w:sz w:val="24"/>
          <w:szCs w:val="24"/>
        </w:rPr>
        <w:t>следующие ГРБС:</w:t>
      </w:r>
    </w:p>
    <w:p w:rsidR="0042217E" w:rsidRPr="006F3A54" w:rsidRDefault="00240971" w:rsidP="00240971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40971">
        <w:t xml:space="preserve">Департамент по управлению государственным имуществом Ханты-Мансийского автономного округа – Югры </w:t>
      </w:r>
      <w:r w:rsidR="0042217E" w:rsidRPr="0042217E">
        <w:t>(</w:t>
      </w:r>
      <w:r>
        <w:t>32,7</w:t>
      </w:r>
      <w:r w:rsidR="0042217E" w:rsidRPr="0042217E">
        <w:t xml:space="preserve"> </w:t>
      </w:r>
      <w:r>
        <w:t>балла</w:t>
      </w:r>
      <w:r w:rsidR="00711248">
        <w:t>)</w:t>
      </w:r>
      <w:r w:rsidR="0042217E" w:rsidRPr="006F3A54">
        <w:t>;</w:t>
      </w:r>
    </w:p>
    <w:p w:rsidR="0042217E" w:rsidRDefault="00240971" w:rsidP="00240971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40971">
        <w:t xml:space="preserve">Департамент общественных и внешних связей Ханты-Мансийского автономного округа – Югры </w:t>
      </w:r>
      <w:r>
        <w:t>(56,8</w:t>
      </w:r>
      <w:r w:rsidR="00711248">
        <w:t xml:space="preserve"> балла);</w:t>
      </w:r>
    </w:p>
    <w:p w:rsidR="00455210" w:rsidRPr="00BF0EC8" w:rsidRDefault="00240971" w:rsidP="00240971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40971">
        <w:t>Департамент строительства Ханты-Мансийского автономного округа – Югры</w:t>
      </w:r>
      <w:r>
        <w:t xml:space="preserve"> </w:t>
      </w:r>
      <w:r w:rsidR="004C16C3">
        <w:t xml:space="preserve">     </w:t>
      </w:r>
      <w:r>
        <w:t>(58,7</w:t>
      </w:r>
      <w:r w:rsidR="00711248">
        <w:t xml:space="preserve"> балла).</w:t>
      </w:r>
    </w:p>
    <w:p w:rsidR="00266EAD" w:rsidRPr="00463351" w:rsidRDefault="00A52B95" w:rsidP="00455210">
      <w:pPr>
        <w:spacing w:before="240" w:after="240" w:line="360" w:lineRule="auto"/>
        <w:ind w:right="3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3A54">
        <w:rPr>
          <w:rFonts w:ascii="Times New Roman" w:hAnsi="Times New Roman" w:cs="Times New Roman"/>
          <w:b/>
          <w:sz w:val="24"/>
          <w:szCs w:val="24"/>
        </w:rPr>
        <w:t>3</w:t>
      </w:r>
      <w:r w:rsidR="00266EAD" w:rsidRPr="006F3A54">
        <w:rPr>
          <w:rFonts w:ascii="Times New Roman" w:hAnsi="Times New Roman" w:cs="Times New Roman"/>
          <w:b/>
          <w:sz w:val="24"/>
          <w:szCs w:val="24"/>
        </w:rPr>
        <w:t>. Исполнение бюджета по доходам</w:t>
      </w:r>
    </w:p>
    <w:p w:rsidR="0058743E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667">
        <w:rPr>
          <w:rFonts w:ascii="Times New Roman" w:hAnsi="Times New Roman" w:cs="Times New Roman"/>
          <w:sz w:val="24"/>
          <w:szCs w:val="24"/>
        </w:rPr>
        <w:t xml:space="preserve">Мониторинг качества финансового менеджмента </w:t>
      </w:r>
      <w:r w:rsidR="009E7062">
        <w:rPr>
          <w:rFonts w:ascii="Times New Roman" w:hAnsi="Times New Roman" w:cs="Times New Roman"/>
          <w:sz w:val="24"/>
          <w:szCs w:val="24"/>
        </w:rPr>
        <w:t>за 2020</w:t>
      </w:r>
      <w:r w:rsidRPr="00D2366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633721">
        <w:rPr>
          <w:rFonts w:ascii="Times New Roman" w:hAnsi="Times New Roman" w:cs="Times New Roman"/>
          <w:sz w:val="24"/>
          <w:szCs w:val="24"/>
        </w:rPr>
        <w:t xml:space="preserve">по данной группе показателей </w:t>
      </w:r>
      <w:r w:rsidR="007B4E06">
        <w:rPr>
          <w:rFonts w:ascii="Times New Roman" w:hAnsi="Times New Roman" w:cs="Times New Roman"/>
          <w:sz w:val="24"/>
          <w:szCs w:val="24"/>
        </w:rPr>
        <w:t>проведен по 36</w:t>
      </w:r>
      <w:r w:rsidRPr="00D23667">
        <w:rPr>
          <w:rFonts w:ascii="Times New Roman" w:hAnsi="Times New Roman" w:cs="Times New Roman"/>
          <w:sz w:val="24"/>
          <w:szCs w:val="24"/>
        </w:rPr>
        <w:t xml:space="preserve"> главным администраторам доходов бюджета автономног</w:t>
      </w:r>
      <w:r>
        <w:rPr>
          <w:rFonts w:ascii="Times New Roman" w:hAnsi="Times New Roman" w:cs="Times New Roman"/>
          <w:sz w:val="24"/>
          <w:szCs w:val="24"/>
        </w:rPr>
        <w:t>о округа</w:t>
      </w:r>
      <w:r w:rsidR="007B4E06">
        <w:rPr>
          <w:rFonts w:ascii="Times New Roman" w:hAnsi="Times New Roman" w:cs="Times New Roman"/>
          <w:sz w:val="24"/>
          <w:szCs w:val="24"/>
        </w:rPr>
        <w:t xml:space="preserve"> (далее – ГАДБ)</w:t>
      </w:r>
      <w:r>
        <w:rPr>
          <w:rFonts w:ascii="Times New Roman" w:hAnsi="Times New Roman" w:cs="Times New Roman"/>
          <w:sz w:val="24"/>
          <w:szCs w:val="24"/>
        </w:rPr>
        <w:t xml:space="preserve"> по четырем показателям.</w:t>
      </w:r>
      <w:r w:rsidR="00FD684C">
        <w:rPr>
          <w:rFonts w:ascii="Times New Roman" w:hAnsi="Times New Roman" w:cs="Times New Roman"/>
          <w:sz w:val="24"/>
          <w:szCs w:val="24"/>
        </w:rPr>
        <w:t xml:space="preserve"> Вес между показателями данной группы распределяется поровну.</w:t>
      </w:r>
    </w:p>
    <w:p w:rsidR="0058743E" w:rsidRPr="0058743E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>При фактическом поступлении доходов за финансовый год ниже уточненного плана или при его перевыполнении более чем на 5</w:t>
      </w:r>
      <w:r w:rsidR="00FD684C">
        <w:rPr>
          <w:rFonts w:ascii="Times New Roman" w:hAnsi="Times New Roman" w:cs="Times New Roman"/>
          <w:sz w:val="24"/>
          <w:szCs w:val="24"/>
        </w:rPr>
        <w:t>%</w:t>
      </w:r>
      <w:r w:rsidR="005E4B15">
        <w:rPr>
          <w:rFonts w:ascii="Times New Roman" w:hAnsi="Times New Roman" w:cs="Times New Roman"/>
          <w:sz w:val="24"/>
          <w:szCs w:val="24"/>
        </w:rPr>
        <w:t xml:space="preserve"> по показателю «к</w:t>
      </w:r>
      <w:r w:rsidR="005E4B15" w:rsidRPr="002A4BCF">
        <w:rPr>
          <w:rFonts w:ascii="Times New Roman" w:hAnsi="Times New Roman" w:cs="Times New Roman"/>
          <w:sz w:val="24"/>
          <w:szCs w:val="24"/>
        </w:rPr>
        <w:t>ачество планирования поступлений доходов</w:t>
      </w:r>
      <w:r w:rsidR="005E4B15">
        <w:rPr>
          <w:rFonts w:ascii="Times New Roman" w:hAnsi="Times New Roman" w:cs="Times New Roman"/>
          <w:sz w:val="24"/>
          <w:szCs w:val="24"/>
        </w:rPr>
        <w:t>»</w:t>
      </w:r>
      <w:r w:rsidR="00FD684C">
        <w:rPr>
          <w:rFonts w:ascii="Times New Roman" w:hAnsi="Times New Roman" w:cs="Times New Roman"/>
          <w:sz w:val="24"/>
          <w:szCs w:val="24"/>
        </w:rPr>
        <w:t xml:space="preserve"> ГАДБ присваивается минимальная оценка </w:t>
      </w:r>
      <w:r w:rsidRPr="0058743E">
        <w:rPr>
          <w:rFonts w:ascii="Times New Roman" w:hAnsi="Times New Roman" w:cs="Times New Roman"/>
          <w:sz w:val="24"/>
          <w:szCs w:val="24"/>
        </w:rPr>
        <w:t>0</w:t>
      </w:r>
      <w:r w:rsidR="00FD684C">
        <w:rPr>
          <w:rFonts w:ascii="Times New Roman" w:hAnsi="Times New Roman" w:cs="Times New Roman"/>
          <w:sz w:val="24"/>
          <w:szCs w:val="24"/>
        </w:rPr>
        <w:t xml:space="preserve"> баллов</w:t>
      </w:r>
      <w:r w:rsidRPr="0058743E">
        <w:rPr>
          <w:rFonts w:ascii="Times New Roman" w:hAnsi="Times New Roman" w:cs="Times New Roman"/>
          <w:sz w:val="24"/>
          <w:szCs w:val="24"/>
        </w:rPr>
        <w:t xml:space="preserve">, что свидетельствует о некачественной работе по планированию поступлений доходов в бюджет Югры. </w:t>
      </w:r>
      <w:r w:rsidR="00D7771D">
        <w:rPr>
          <w:rFonts w:ascii="Times New Roman" w:hAnsi="Times New Roman" w:cs="Times New Roman"/>
          <w:sz w:val="24"/>
          <w:szCs w:val="24"/>
        </w:rPr>
        <w:t>Минимальная</w:t>
      </w:r>
      <w:r w:rsidR="005E4B15">
        <w:rPr>
          <w:rFonts w:ascii="Times New Roman" w:hAnsi="Times New Roman" w:cs="Times New Roman"/>
          <w:sz w:val="24"/>
          <w:szCs w:val="24"/>
        </w:rPr>
        <w:t xml:space="preserve"> оценка присвоена 17</w:t>
      </w:r>
      <w:r w:rsidRPr="0058743E">
        <w:rPr>
          <w:rFonts w:ascii="Times New Roman" w:hAnsi="Times New Roman" w:cs="Times New Roman"/>
          <w:sz w:val="24"/>
          <w:szCs w:val="24"/>
        </w:rPr>
        <w:t xml:space="preserve"> </w:t>
      </w:r>
      <w:r w:rsidR="005E4B15">
        <w:rPr>
          <w:rFonts w:ascii="Times New Roman" w:hAnsi="Times New Roman" w:cs="Times New Roman"/>
          <w:sz w:val="24"/>
          <w:szCs w:val="24"/>
        </w:rPr>
        <w:t>ГАДБ (47,2</w:t>
      </w:r>
      <w:r w:rsidR="00D7771D">
        <w:rPr>
          <w:rFonts w:ascii="Times New Roman" w:hAnsi="Times New Roman" w:cs="Times New Roman"/>
          <w:sz w:val="24"/>
          <w:szCs w:val="24"/>
        </w:rPr>
        <w:t xml:space="preserve"> % </w:t>
      </w:r>
      <w:r w:rsidR="00D7771D" w:rsidRPr="00D7771D">
        <w:rPr>
          <w:rFonts w:ascii="Times New Roman" w:hAnsi="Times New Roman" w:cs="Times New Roman"/>
          <w:sz w:val="24"/>
          <w:szCs w:val="24"/>
        </w:rPr>
        <w:t>от оцениваемого их количества</w:t>
      </w:r>
      <w:r w:rsidR="00D7771D">
        <w:rPr>
          <w:rFonts w:ascii="Times New Roman" w:hAnsi="Times New Roman" w:cs="Times New Roman"/>
          <w:sz w:val="24"/>
          <w:szCs w:val="24"/>
        </w:rPr>
        <w:t xml:space="preserve">), </w:t>
      </w:r>
      <w:r w:rsidR="00D7771D" w:rsidRPr="00D7771D">
        <w:rPr>
          <w:rFonts w:ascii="Times New Roman" w:hAnsi="Times New Roman" w:cs="Times New Roman"/>
          <w:sz w:val="24"/>
          <w:szCs w:val="24"/>
        </w:rPr>
        <w:t>которые показали низкий уровень качества планирования доходов бюджета автономного округа</w:t>
      </w:r>
      <w:r w:rsidRPr="005874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3E" w:rsidRPr="0058743E" w:rsidRDefault="005E4B15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19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 главных администраторов доходов</w:t>
      </w:r>
      <w:r>
        <w:rPr>
          <w:rFonts w:ascii="Times New Roman" w:hAnsi="Times New Roman" w:cs="Times New Roman"/>
          <w:sz w:val="24"/>
          <w:szCs w:val="24"/>
        </w:rPr>
        <w:t xml:space="preserve"> (52,8</w:t>
      </w:r>
      <w:r w:rsidR="00D7771D">
        <w:rPr>
          <w:rFonts w:ascii="Times New Roman" w:hAnsi="Times New Roman" w:cs="Times New Roman"/>
          <w:sz w:val="24"/>
          <w:szCs w:val="24"/>
        </w:rPr>
        <w:t xml:space="preserve"> % </w:t>
      </w:r>
      <w:r w:rsidR="00D7771D" w:rsidRPr="00D7771D">
        <w:rPr>
          <w:rFonts w:ascii="Times New Roman" w:hAnsi="Times New Roman" w:cs="Times New Roman"/>
          <w:sz w:val="24"/>
          <w:szCs w:val="24"/>
        </w:rPr>
        <w:t>от оцениваемого их количества</w:t>
      </w:r>
      <w:r w:rsidR="00D7771D">
        <w:rPr>
          <w:rFonts w:ascii="Times New Roman" w:hAnsi="Times New Roman" w:cs="Times New Roman"/>
          <w:sz w:val="24"/>
          <w:szCs w:val="24"/>
        </w:rPr>
        <w:t>)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 отклонение фактического поступления от уточненного плана сложилось в допустимых пределах либо отсутствовало в</w:t>
      </w:r>
      <w:r>
        <w:rPr>
          <w:rFonts w:ascii="Times New Roman" w:hAnsi="Times New Roman" w:cs="Times New Roman"/>
          <w:sz w:val="24"/>
          <w:szCs w:val="24"/>
        </w:rPr>
        <w:t>ообще, в связи с чем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 им присвоен максимальный бал – 1, что </w:t>
      </w:r>
      <w:r w:rsidR="0058743E" w:rsidRPr="0058743E">
        <w:rPr>
          <w:rFonts w:ascii="Times New Roman" w:hAnsi="Times New Roman" w:cs="Times New Roman"/>
          <w:sz w:val="24"/>
          <w:szCs w:val="24"/>
        </w:rPr>
        <w:lastRenderedPageBreak/>
        <w:t xml:space="preserve">отражает высокое качество планирования доходов и своевременную работу главного администратора по внесению изменений в действующий план. </w:t>
      </w:r>
    </w:p>
    <w:p w:rsidR="006E6B8E" w:rsidRPr="006E6B8E" w:rsidRDefault="006E6B8E" w:rsidP="006E6B8E">
      <w:pPr>
        <w:pStyle w:val="a3"/>
        <w:spacing w:line="360" w:lineRule="auto"/>
        <w:ind w:left="0" w:firstLine="709"/>
      </w:pPr>
      <w:r w:rsidRPr="006E6B8E">
        <w:t>Показатель по эффективности управления невыясненными поступлениями отражает качество работы главных администраторов доходов бюджета автономного округа по своевременной подготовке уведомлений на уточнение вида и (или) принадлежности платежа, а также платежных поручений на возврат.</w:t>
      </w:r>
    </w:p>
    <w:p w:rsidR="0058743E" w:rsidRPr="006E6B8E" w:rsidRDefault="006E6B8E" w:rsidP="006E6B8E">
      <w:pPr>
        <w:pStyle w:val="a3"/>
        <w:spacing w:line="360" w:lineRule="auto"/>
        <w:ind w:left="0" w:firstLine="709"/>
      </w:pPr>
      <w:r w:rsidRPr="006E6B8E">
        <w:t xml:space="preserve">При наличии положительной суммы поступлений по данному виду доходов главному администратору доходов бюджета автономного округа, присваивается минимальная оценка – 0 баллов. За истекший год невыясненными остались доходы у </w:t>
      </w:r>
      <w:r w:rsidR="00200747">
        <w:t>трёх</w:t>
      </w:r>
      <w:r w:rsidR="0058743E" w:rsidRPr="006E6B8E">
        <w:t xml:space="preserve"> ГАДБ, в том числе:</w:t>
      </w:r>
    </w:p>
    <w:p w:rsidR="0058743E" w:rsidRPr="0058743E" w:rsidRDefault="006E16FD" w:rsidP="006E16FD">
      <w:pPr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16FD">
        <w:rPr>
          <w:rFonts w:ascii="Times New Roman" w:hAnsi="Times New Roman" w:cs="Times New Roman"/>
          <w:sz w:val="24"/>
          <w:szCs w:val="24"/>
        </w:rPr>
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</w:r>
      <w:r w:rsidR="0058743E" w:rsidRPr="0058743E">
        <w:rPr>
          <w:rFonts w:ascii="Times New Roman" w:hAnsi="Times New Roman" w:cs="Times New Roman"/>
          <w:sz w:val="24"/>
          <w:szCs w:val="24"/>
        </w:rPr>
        <w:t>;</w:t>
      </w:r>
    </w:p>
    <w:p w:rsidR="0058743E" w:rsidRDefault="00200747" w:rsidP="00200747">
      <w:pPr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0747">
        <w:rPr>
          <w:rFonts w:ascii="Times New Roman" w:hAnsi="Times New Roman" w:cs="Times New Roman"/>
          <w:sz w:val="24"/>
          <w:szCs w:val="24"/>
        </w:rPr>
        <w:t>Служба контроля Ханты-Мансийского автономного округа – Югры</w:t>
      </w:r>
      <w:r w:rsidR="0058743E" w:rsidRPr="0058743E">
        <w:rPr>
          <w:rFonts w:ascii="Times New Roman" w:hAnsi="Times New Roman" w:cs="Times New Roman"/>
          <w:sz w:val="24"/>
          <w:szCs w:val="24"/>
        </w:rPr>
        <w:t>;</w:t>
      </w:r>
    </w:p>
    <w:p w:rsidR="00200747" w:rsidRPr="0058743E" w:rsidRDefault="00200747" w:rsidP="00200747">
      <w:pPr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0747">
        <w:rPr>
          <w:rFonts w:ascii="Times New Roman" w:hAnsi="Times New Roman" w:cs="Times New Roman"/>
          <w:sz w:val="24"/>
          <w:szCs w:val="24"/>
        </w:rPr>
        <w:t>Аппарат Губернатора Ханты-Мансийского 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8743E" w:rsidRPr="0058743E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>Остальным</w:t>
      </w:r>
      <w:r w:rsidR="00200747">
        <w:rPr>
          <w:rFonts w:ascii="Times New Roman" w:hAnsi="Times New Roman" w:cs="Times New Roman"/>
          <w:sz w:val="24"/>
          <w:szCs w:val="24"/>
        </w:rPr>
        <w:t xml:space="preserve"> 33</w:t>
      </w:r>
      <w:r w:rsidRPr="0058743E">
        <w:rPr>
          <w:rFonts w:ascii="Times New Roman" w:hAnsi="Times New Roman" w:cs="Times New Roman"/>
          <w:sz w:val="24"/>
          <w:szCs w:val="24"/>
        </w:rPr>
        <w:t xml:space="preserve"> </w:t>
      </w:r>
      <w:r w:rsidR="00200747">
        <w:rPr>
          <w:rFonts w:ascii="Times New Roman" w:hAnsi="Times New Roman" w:cs="Times New Roman"/>
          <w:sz w:val="24"/>
          <w:szCs w:val="24"/>
        </w:rPr>
        <w:t>ГАДБ</w:t>
      </w:r>
      <w:r w:rsidRPr="0058743E">
        <w:rPr>
          <w:rFonts w:ascii="Times New Roman" w:hAnsi="Times New Roman" w:cs="Times New Roman"/>
          <w:sz w:val="24"/>
          <w:szCs w:val="24"/>
        </w:rPr>
        <w:t xml:space="preserve"> присвоен максимальный балл – 1.</w:t>
      </w:r>
    </w:p>
    <w:p w:rsidR="0058743E" w:rsidRPr="0058743E" w:rsidRDefault="006E6B8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8743E" w:rsidRPr="0058743E">
        <w:rPr>
          <w:rFonts w:ascii="Times New Roman" w:hAnsi="Times New Roman" w:cs="Times New Roman"/>
          <w:sz w:val="24"/>
          <w:szCs w:val="24"/>
        </w:rPr>
        <w:t>оказатель</w:t>
      </w:r>
      <w:r>
        <w:rPr>
          <w:rFonts w:ascii="Times New Roman" w:hAnsi="Times New Roman" w:cs="Times New Roman"/>
          <w:sz w:val="24"/>
          <w:szCs w:val="24"/>
        </w:rPr>
        <w:t xml:space="preserve"> э</w:t>
      </w:r>
      <w:r w:rsidRPr="006E6B8E">
        <w:rPr>
          <w:rFonts w:ascii="Times New Roman" w:hAnsi="Times New Roman" w:cs="Times New Roman"/>
          <w:sz w:val="24"/>
          <w:szCs w:val="24"/>
        </w:rPr>
        <w:t>ффективност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E6B8E">
        <w:rPr>
          <w:rFonts w:ascii="Times New Roman" w:hAnsi="Times New Roman" w:cs="Times New Roman"/>
          <w:sz w:val="24"/>
          <w:szCs w:val="24"/>
        </w:rPr>
        <w:t xml:space="preserve"> управления дебиторской задолженностью по р</w:t>
      </w:r>
      <w:r>
        <w:rPr>
          <w:rFonts w:ascii="Times New Roman" w:hAnsi="Times New Roman" w:cs="Times New Roman"/>
          <w:sz w:val="24"/>
          <w:szCs w:val="24"/>
        </w:rPr>
        <w:t>асчетам с дебиторами по доходам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 отражает качество работы главных администраторов доходов бюджета автономного округа по осуществлению своевременных расчетов.</w:t>
      </w:r>
    </w:p>
    <w:p w:rsidR="0033290D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 xml:space="preserve">За истекший год просроченная дебиторская задолженность образовалась у </w:t>
      </w:r>
      <w:r w:rsidR="00200747">
        <w:rPr>
          <w:rFonts w:ascii="Times New Roman" w:hAnsi="Times New Roman" w:cs="Times New Roman"/>
          <w:sz w:val="24"/>
          <w:szCs w:val="24"/>
        </w:rPr>
        <w:t>14</w:t>
      </w:r>
      <w:r w:rsidR="0033290D">
        <w:rPr>
          <w:rFonts w:ascii="Times New Roman" w:hAnsi="Times New Roman" w:cs="Times New Roman"/>
          <w:sz w:val="24"/>
          <w:szCs w:val="24"/>
        </w:rPr>
        <w:t xml:space="preserve"> </w:t>
      </w:r>
      <w:r w:rsidRPr="0058743E">
        <w:rPr>
          <w:rFonts w:ascii="Times New Roman" w:hAnsi="Times New Roman" w:cs="Times New Roman"/>
          <w:sz w:val="24"/>
          <w:szCs w:val="24"/>
        </w:rPr>
        <w:t>главных администраторов доходов бюджета автономного округа</w:t>
      </w:r>
      <w:r w:rsidR="00200747">
        <w:rPr>
          <w:rFonts w:ascii="Times New Roman" w:hAnsi="Times New Roman" w:cs="Times New Roman"/>
          <w:sz w:val="24"/>
          <w:szCs w:val="24"/>
        </w:rPr>
        <w:t xml:space="preserve"> (38,9</w:t>
      </w:r>
      <w:r w:rsidR="0033290D">
        <w:rPr>
          <w:rFonts w:ascii="Times New Roman" w:hAnsi="Times New Roman" w:cs="Times New Roman"/>
          <w:sz w:val="24"/>
          <w:szCs w:val="24"/>
        </w:rPr>
        <w:t xml:space="preserve"> % от </w:t>
      </w:r>
      <w:r w:rsidR="0033290D" w:rsidRPr="00D7771D">
        <w:rPr>
          <w:rFonts w:ascii="Times New Roman" w:hAnsi="Times New Roman" w:cs="Times New Roman"/>
          <w:sz w:val="24"/>
          <w:szCs w:val="24"/>
        </w:rPr>
        <w:t>оцениваемого их количества</w:t>
      </w:r>
      <w:r w:rsidR="0033290D">
        <w:rPr>
          <w:rFonts w:ascii="Times New Roman" w:hAnsi="Times New Roman" w:cs="Times New Roman"/>
          <w:sz w:val="24"/>
          <w:szCs w:val="24"/>
        </w:rPr>
        <w:t>), которым присвоена оценка 0 баллов.</w:t>
      </w:r>
    </w:p>
    <w:p w:rsidR="0058743E" w:rsidRPr="0058743E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 xml:space="preserve">Наиболее значительные её </w:t>
      </w:r>
      <w:r w:rsidR="001521C0">
        <w:rPr>
          <w:rFonts w:ascii="Times New Roman" w:hAnsi="Times New Roman" w:cs="Times New Roman"/>
          <w:sz w:val="24"/>
          <w:szCs w:val="24"/>
        </w:rPr>
        <w:t xml:space="preserve">суммы сложились у </w:t>
      </w:r>
      <w:r w:rsidR="006E16FD">
        <w:rPr>
          <w:rFonts w:ascii="Times New Roman" w:hAnsi="Times New Roman" w:cs="Times New Roman"/>
          <w:sz w:val="24"/>
          <w:szCs w:val="24"/>
        </w:rPr>
        <w:t>3</w:t>
      </w:r>
      <w:r w:rsidRPr="0058743E">
        <w:rPr>
          <w:rFonts w:ascii="Times New Roman" w:hAnsi="Times New Roman" w:cs="Times New Roman"/>
          <w:sz w:val="24"/>
          <w:szCs w:val="24"/>
        </w:rPr>
        <w:t xml:space="preserve"> </w:t>
      </w:r>
      <w:r w:rsidR="006E16FD">
        <w:rPr>
          <w:rFonts w:ascii="Times New Roman" w:hAnsi="Times New Roman" w:cs="Times New Roman"/>
          <w:sz w:val="24"/>
          <w:szCs w:val="24"/>
        </w:rPr>
        <w:t>ГАДБ</w:t>
      </w:r>
      <w:r w:rsidRPr="0058743E">
        <w:rPr>
          <w:rFonts w:ascii="Times New Roman" w:hAnsi="Times New Roman" w:cs="Times New Roman"/>
          <w:sz w:val="24"/>
          <w:szCs w:val="24"/>
        </w:rPr>
        <w:t>:</w:t>
      </w:r>
    </w:p>
    <w:p w:rsidR="0058743E" w:rsidRPr="0058743E" w:rsidRDefault="0058743E" w:rsidP="001521C0">
      <w:pPr>
        <w:numPr>
          <w:ilvl w:val="0"/>
          <w:numId w:val="3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>Департамент строительства Ханты-Мансийского автономного округа – Югры;</w:t>
      </w:r>
    </w:p>
    <w:p w:rsidR="0058743E" w:rsidRPr="0058743E" w:rsidRDefault="0058743E" w:rsidP="001521C0">
      <w:pPr>
        <w:numPr>
          <w:ilvl w:val="0"/>
          <w:numId w:val="3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>Департамент культуры Ханты-Мансийс</w:t>
      </w:r>
      <w:r w:rsidR="001521C0">
        <w:rPr>
          <w:rFonts w:ascii="Times New Roman" w:hAnsi="Times New Roman" w:cs="Times New Roman"/>
          <w:sz w:val="24"/>
          <w:szCs w:val="24"/>
        </w:rPr>
        <w:t>кого автономного округа – Югры</w:t>
      </w:r>
      <w:r w:rsidRPr="0058743E">
        <w:rPr>
          <w:rFonts w:ascii="Times New Roman" w:hAnsi="Times New Roman" w:cs="Times New Roman"/>
          <w:sz w:val="24"/>
          <w:szCs w:val="24"/>
        </w:rPr>
        <w:t>;</w:t>
      </w:r>
    </w:p>
    <w:p w:rsidR="0058743E" w:rsidRPr="0058743E" w:rsidRDefault="0058743E" w:rsidP="001521C0">
      <w:pPr>
        <w:numPr>
          <w:ilvl w:val="0"/>
          <w:numId w:val="3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>Департамент по управлению государственным имуществом Ханты-Мансий</w:t>
      </w:r>
      <w:r w:rsidR="006E16FD">
        <w:rPr>
          <w:rFonts w:ascii="Times New Roman" w:hAnsi="Times New Roman" w:cs="Times New Roman"/>
          <w:sz w:val="24"/>
          <w:szCs w:val="24"/>
        </w:rPr>
        <w:t>ского автономного округа – Югры.</w:t>
      </w:r>
    </w:p>
    <w:p w:rsidR="0058743E" w:rsidRDefault="00D23DAA" w:rsidP="00E4400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DAA">
        <w:rPr>
          <w:rFonts w:ascii="Times New Roman" w:hAnsi="Times New Roman" w:cs="Times New Roman"/>
          <w:sz w:val="24"/>
          <w:szCs w:val="24"/>
        </w:rPr>
        <w:t xml:space="preserve">Четвертый показатель –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23DAA">
        <w:rPr>
          <w:rFonts w:ascii="Times New Roman" w:hAnsi="Times New Roman" w:cs="Times New Roman"/>
          <w:sz w:val="24"/>
          <w:szCs w:val="24"/>
        </w:rPr>
        <w:t>облюдение сроков предоставления аналитической информации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8743E" w:rsidRPr="0058743E">
        <w:rPr>
          <w:rFonts w:ascii="Times New Roman" w:hAnsi="Times New Roman" w:cs="Times New Roman"/>
          <w:sz w:val="24"/>
          <w:szCs w:val="24"/>
        </w:rPr>
        <w:t>отражает уровень ответственности и дисциплинированности ГАДБ по соблюдению установленных сроков предоставления аналитической информации за истекший финансовый год.</w:t>
      </w:r>
      <w:r w:rsidR="00E4400C">
        <w:rPr>
          <w:rFonts w:ascii="Times New Roman" w:hAnsi="Times New Roman" w:cs="Times New Roman"/>
          <w:sz w:val="24"/>
          <w:szCs w:val="24"/>
        </w:rPr>
        <w:t xml:space="preserve"> В отчетном году все ГАДБ </w:t>
      </w:r>
      <w:r w:rsidR="0058743E" w:rsidRPr="0058743E">
        <w:rPr>
          <w:rFonts w:ascii="Times New Roman" w:hAnsi="Times New Roman" w:cs="Times New Roman"/>
          <w:sz w:val="24"/>
          <w:szCs w:val="24"/>
        </w:rPr>
        <w:t>представи</w:t>
      </w:r>
      <w:r w:rsidR="00E4400C">
        <w:rPr>
          <w:rFonts w:ascii="Times New Roman" w:hAnsi="Times New Roman" w:cs="Times New Roman"/>
          <w:sz w:val="24"/>
          <w:szCs w:val="24"/>
        </w:rPr>
        <w:t>ли аналитическую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 информацию своевременно, </w:t>
      </w:r>
      <w:r w:rsidR="007221B0">
        <w:rPr>
          <w:rFonts w:ascii="Times New Roman" w:hAnsi="Times New Roman" w:cs="Times New Roman"/>
          <w:sz w:val="24"/>
          <w:szCs w:val="24"/>
        </w:rPr>
        <w:t>в связи с чем</w:t>
      </w:r>
      <w:r w:rsidR="007221B0" w:rsidRPr="0058743E">
        <w:rPr>
          <w:rFonts w:ascii="Times New Roman" w:hAnsi="Times New Roman" w:cs="Times New Roman"/>
          <w:sz w:val="24"/>
          <w:szCs w:val="24"/>
        </w:rPr>
        <w:t xml:space="preserve"> им присвоен</w:t>
      </w:r>
      <w:r w:rsidR="007221B0">
        <w:rPr>
          <w:rFonts w:ascii="Times New Roman" w:hAnsi="Times New Roman" w:cs="Times New Roman"/>
          <w:sz w:val="24"/>
          <w:szCs w:val="24"/>
        </w:rPr>
        <w:t>а максимальная оценка</w:t>
      </w:r>
      <w:r w:rsidR="007221B0" w:rsidRPr="0058743E">
        <w:rPr>
          <w:rFonts w:ascii="Times New Roman" w:hAnsi="Times New Roman" w:cs="Times New Roman"/>
          <w:sz w:val="24"/>
          <w:szCs w:val="24"/>
        </w:rPr>
        <w:t xml:space="preserve"> – 1</w:t>
      </w:r>
      <w:r w:rsidR="007221B0">
        <w:rPr>
          <w:rFonts w:ascii="Times New Roman" w:hAnsi="Times New Roman" w:cs="Times New Roman"/>
          <w:sz w:val="24"/>
          <w:szCs w:val="24"/>
        </w:rPr>
        <w:t xml:space="preserve"> балл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55210" w:rsidRDefault="00455210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D41" w:rsidRDefault="00A73D41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08A" w:rsidRDefault="00C9408A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08A" w:rsidRDefault="00C9408A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08A" w:rsidRDefault="00C9408A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203" w:rsidRDefault="00733203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203">
        <w:rPr>
          <w:rFonts w:ascii="Times New Roman" w:hAnsi="Times New Roman" w:cs="Times New Roman"/>
          <w:b/>
          <w:sz w:val="28"/>
          <w:szCs w:val="28"/>
        </w:rPr>
        <w:lastRenderedPageBreak/>
        <w:t>Исполнение бюджета по доходам</w:t>
      </w:r>
    </w:p>
    <w:p w:rsidR="00A67E14" w:rsidRPr="00733203" w:rsidRDefault="007221B0" w:rsidP="00474CF2">
      <w:pPr>
        <w:spacing w:after="0" w:line="24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14BA9A30" wp14:editId="6B420FFE">
            <wp:extent cx="6830060" cy="481053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33203" w:rsidRDefault="00733203" w:rsidP="007332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AAE" w:rsidRDefault="00BE0AA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AAE">
        <w:rPr>
          <w:rFonts w:ascii="Times New Roman" w:hAnsi="Times New Roman" w:cs="Times New Roman"/>
          <w:sz w:val="24"/>
          <w:szCs w:val="24"/>
          <w:u w:val="single"/>
        </w:rPr>
        <w:t>Средняя оценка</w:t>
      </w:r>
      <w:r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по группе показателей «Испо</w:t>
      </w:r>
      <w:r w:rsidR="00DB02FF">
        <w:rPr>
          <w:rFonts w:ascii="Times New Roman" w:hAnsi="Times New Roman" w:cs="Times New Roman"/>
          <w:sz w:val="24"/>
          <w:szCs w:val="24"/>
        </w:rPr>
        <w:t>лнение бюджета по доходам» по 36</w:t>
      </w:r>
      <w:r>
        <w:rPr>
          <w:rFonts w:ascii="Times New Roman" w:hAnsi="Times New Roman" w:cs="Times New Roman"/>
          <w:sz w:val="24"/>
          <w:szCs w:val="24"/>
        </w:rPr>
        <w:t xml:space="preserve"> оцениваемым главным администраторам доходов бюджета автономного округа с учетом удельного веса показа</w:t>
      </w:r>
      <w:r w:rsidR="00DB02FF">
        <w:rPr>
          <w:rFonts w:ascii="Times New Roman" w:hAnsi="Times New Roman" w:cs="Times New Roman"/>
          <w:sz w:val="24"/>
          <w:szCs w:val="24"/>
        </w:rPr>
        <w:t>те</w:t>
      </w:r>
      <w:r w:rsidR="007221B0">
        <w:rPr>
          <w:rFonts w:ascii="Times New Roman" w:hAnsi="Times New Roman" w:cs="Times New Roman"/>
          <w:sz w:val="24"/>
          <w:szCs w:val="24"/>
        </w:rPr>
        <w:t>лей данной группы составила 76,4</w:t>
      </w:r>
      <w:r>
        <w:rPr>
          <w:rFonts w:ascii="Times New Roman" w:hAnsi="Times New Roman" w:cs="Times New Roman"/>
          <w:sz w:val="24"/>
          <w:szCs w:val="24"/>
        </w:rPr>
        <w:t xml:space="preserve"> балла по 100-балльной шкале. </w:t>
      </w:r>
    </w:p>
    <w:p w:rsidR="0058743E" w:rsidRPr="0058743E" w:rsidRDefault="007221B0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30D52">
        <w:rPr>
          <w:rFonts w:ascii="Times New Roman" w:hAnsi="Times New Roman" w:cs="Times New Roman"/>
          <w:sz w:val="24"/>
          <w:szCs w:val="24"/>
        </w:rPr>
        <w:t xml:space="preserve"> ГАДБ</w:t>
      </w:r>
      <w:r>
        <w:rPr>
          <w:rFonts w:ascii="Times New Roman" w:hAnsi="Times New Roman" w:cs="Times New Roman"/>
          <w:sz w:val="24"/>
          <w:szCs w:val="24"/>
        </w:rPr>
        <w:t>, или 30,6</w:t>
      </w:r>
      <w:r w:rsidR="000D319F">
        <w:rPr>
          <w:rFonts w:ascii="Times New Roman" w:hAnsi="Times New Roman" w:cs="Times New Roman"/>
          <w:sz w:val="24"/>
          <w:szCs w:val="24"/>
        </w:rPr>
        <w:t xml:space="preserve"> </w:t>
      </w:r>
      <w:r w:rsidR="00BE0AAE">
        <w:rPr>
          <w:rFonts w:ascii="Times New Roman" w:hAnsi="Times New Roman" w:cs="Times New Roman"/>
          <w:sz w:val="24"/>
          <w:szCs w:val="24"/>
        </w:rPr>
        <w:t>% от оцениваемого их количества, имеют оценки качества финансового менеджмента по группе показателей «Исполнение бюджета по дохода</w:t>
      </w:r>
      <w:r w:rsidR="00B15CBE">
        <w:rPr>
          <w:rFonts w:ascii="Times New Roman" w:hAnsi="Times New Roman" w:cs="Times New Roman"/>
          <w:sz w:val="24"/>
          <w:szCs w:val="24"/>
        </w:rPr>
        <w:t>м</w:t>
      </w:r>
      <w:r w:rsidR="000D319F">
        <w:rPr>
          <w:rFonts w:ascii="Times New Roman" w:hAnsi="Times New Roman" w:cs="Times New Roman"/>
          <w:sz w:val="24"/>
          <w:szCs w:val="24"/>
        </w:rPr>
        <w:t>» выше средней оценки –</w:t>
      </w:r>
      <w:r w:rsidR="00BE0AAE">
        <w:rPr>
          <w:rFonts w:ascii="Times New Roman" w:hAnsi="Times New Roman" w:cs="Times New Roman"/>
          <w:sz w:val="24"/>
          <w:szCs w:val="24"/>
        </w:rPr>
        <w:t xml:space="preserve"> 100,0 баллов</w:t>
      </w:r>
      <w:r w:rsidR="004C16C3">
        <w:rPr>
          <w:rFonts w:ascii="Times New Roman" w:hAnsi="Times New Roman" w:cs="Times New Roman"/>
          <w:sz w:val="24"/>
          <w:szCs w:val="24"/>
        </w:rPr>
        <w:t>.</w:t>
      </w:r>
    </w:p>
    <w:p w:rsidR="00E22FE5" w:rsidRPr="00041CC8" w:rsidRDefault="000D319F" w:rsidP="00041C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25</w:t>
      </w:r>
      <w:r w:rsidR="00E22FE5">
        <w:rPr>
          <w:rFonts w:ascii="Times New Roman" w:hAnsi="Times New Roman" w:cs="Times New Roman"/>
          <w:sz w:val="24"/>
          <w:szCs w:val="24"/>
        </w:rPr>
        <w:t xml:space="preserve"> г</w:t>
      </w:r>
      <w:r w:rsidR="008F1014">
        <w:rPr>
          <w:rFonts w:ascii="Times New Roman" w:hAnsi="Times New Roman" w:cs="Times New Roman"/>
          <w:sz w:val="24"/>
          <w:szCs w:val="24"/>
        </w:rPr>
        <w:t>лавных администраторов доходов</w:t>
      </w:r>
      <w:r>
        <w:rPr>
          <w:rFonts w:ascii="Times New Roman" w:hAnsi="Times New Roman" w:cs="Times New Roman"/>
          <w:sz w:val="24"/>
          <w:szCs w:val="24"/>
        </w:rPr>
        <w:t xml:space="preserve"> (69,4 % от оцениваемого количества)</w:t>
      </w:r>
      <w:r w:rsidR="008F1014">
        <w:rPr>
          <w:rFonts w:ascii="Times New Roman" w:hAnsi="Times New Roman" w:cs="Times New Roman"/>
          <w:sz w:val="24"/>
          <w:szCs w:val="24"/>
        </w:rPr>
        <w:t xml:space="preserve"> </w:t>
      </w:r>
      <w:r w:rsidR="00E22FE5">
        <w:rPr>
          <w:rFonts w:ascii="Times New Roman" w:hAnsi="Times New Roman" w:cs="Times New Roman"/>
          <w:sz w:val="24"/>
          <w:szCs w:val="24"/>
        </w:rPr>
        <w:t xml:space="preserve">индивидуальный балл ниже среднего, из них </w:t>
      </w:r>
      <w:r>
        <w:rPr>
          <w:rFonts w:ascii="Times New Roman" w:hAnsi="Times New Roman" w:cs="Times New Roman"/>
          <w:sz w:val="24"/>
          <w:szCs w:val="24"/>
        </w:rPr>
        <w:t>один ГАДБ</w:t>
      </w:r>
      <w:r w:rsidR="00041CC8">
        <w:rPr>
          <w:rFonts w:ascii="Times New Roman" w:hAnsi="Times New Roman" w:cs="Times New Roman"/>
          <w:sz w:val="24"/>
          <w:szCs w:val="24"/>
        </w:rPr>
        <w:t xml:space="preserve"> – </w:t>
      </w:r>
      <w:r w:rsidR="00041CC8" w:rsidRPr="00041CC8">
        <w:rPr>
          <w:rFonts w:ascii="Times New Roman" w:hAnsi="Times New Roman" w:cs="Times New Roman"/>
          <w:sz w:val="24"/>
          <w:szCs w:val="24"/>
        </w:rPr>
        <w:t>Аппарат Губернатора Ханты-Мансийского автономного округа – Югры</w:t>
      </w:r>
      <w:r w:rsidR="00041CC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имеет наименьшую оценку</w:t>
      </w:r>
      <w:r w:rsidR="00E22FE5">
        <w:rPr>
          <w:rFonts w:ascii="Times New Roman" w:hAnsi="Times New Roman" w:cs="Times New Roman"/>
          <w:sz w:val="24"/>
          <w:szCs w:val="24"/>
        </w:rPr>
        <w:t xml:space="preserve"> качества исполнения б</w:t>
      </w:r>
      <w:r w:rsidR="00041CC8">
        <w:rPr>
          <w:rFonts w:ascii="Times New Roman" w:hAnsi="Times New Roman" w:cs="Times New Roman"/>
          <w:sz w:val="24"/>
          <w:szCs w:val="24"/>
        </w:rPr>
        <w:t>юджета по доходам – 25,0 баллов.</w:t>
      </w:r>
    </w:p>
    <w:p w:rsidR="00A73D41" w:rsidRDefault="00A73D41" w:rsidP="005617C9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D41" w:rsidRDefault="00A73D41" w:rsidP="005617C9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3D41" w:rsidRDefault="00A73D41" w:rsidP="005617C9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B95" w:rsidRPr="001F5CD7" w:rsidRDefault="001F5CD7" w:rsidP="005617C9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81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</w:t>
      </w:r>
      <w:r w:rsidR="00A52B95" w:rsidRPr="00DB7818">
        <w:rPr>
          <w:rFonts w:ascii="Times New Roman" w:hAnsi="Times New Roman" w:cs="Times New Roman"/>
          <w:b/>
          <w:sz w:val="24"/>
          <w:szCs w:val="24"/>
        </w:rPr>
        <w:t>Учет и отчетность</w:t>
      </w:r>
    </w:p>
    <w:p w:rsidR="005617C9" w:rsidRPr="005617C9" w:rsidRDefault="005617C9" w:rsidP="005617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7C9">
        <w:rPr>
          <w:rFonts w:ascii="Times New Roman" w:hAnsi="Times New Roman" w:cs="Times New Roman"/>
          <w:sz w:val="24"/>
          <w:szCs w:val="24"/>
        </w:rPr>
        <w:t>При проведении Мониторинга по группе показателей «Учет и отчетность» использовались дан</w:t>
      </w:r>
      <w:r w:rsidR="00736AFD">
        <w:rPr>
          <w:rFonts w:ascii="Times New Roman" w:hAnsi="Times New Roman" w:cs="Times New Roman"/>
          <w:sz w:val="24"/>
          <w:szCs w:val="24"/>
        </w:rPr>
        <w:t xml:space="preserve">ные </w:t>
      </w:r>
      <w:r w:rsidR="00134D81">
        <w:rPr>
          <w:rFonts w:ascii="Times New Roman" w:hAnsi="Times New Roman" w:cs="Times New Roman"/>
          <w:sz w:val="24"/>
          <w:szCs w:val="24"/>
        </w:rPr>
        <w:t>бюджетной отчетности</w:t>
      </w:r>
      <w:r w:rsidR="00736AFD">
        <w:rPr>
          <w:rFonts w:ascii="Times New Roman" w:hAnsi="Times New Roman" w:cs="Times New Roman"/>
          <w:sz w:val="24"/>
          <w:szCs w:val="24"/>
        </w:rPr>
        <w:t xml:space="preserve"> ГРБС </w:t>
      </w:r>
      <w:r w:rsidRPr="005617C9">
        <w:rPr>
          <w:rFonts w:ascii="Times New Roman" w:hAnsi="Times New Roman" w:cs="Times New Roman"/>
          <w:sz w:val="24"/>
          <w:szCs w:val="24"/>
        </w:rPr>
        <w:t>об исполнении бюджета автономного округа</w:t>
      </w:r>
      <w:r w:rsidR="00134D81" w:rsidRPr="00134D81">
        <w:rPr>
          <w:rFonts w:ascii="Times New Roman" w:hAnsi="Times New Roman" w:cs="Times New Roman"/>
          <w:sz w:val="24"/>
          <w:szCs w:val="24"/>
        </w:rPr>
        <w:t xml:space="preserve"> </w:t>
      </w:r>
      <w:r w:rsidR="00903EC2">
        <w:rPr>
          <w:rFonts w:ascii="Times New Roman" w:hAnsi="Times New Roman" w:cs="Times New Roman"/>
          <w:sz w:val="24"/>
          <w:szCs w:val="24"/>
        </w:rPr>
        <w:t xml:space="preserve">за 2020 </w:t>
      </w:r>
      <w:r w:rsidR="00134D81" w:rsidRPr="005617C9">
        <w:rPr>
          <w:rFonts w:ascii="Times New Roman" w:hAnsi="Times New Roman" w:cs="Times New Roman"/>
          <w:sz w:val="24"/>
          <w:szCs w:val="24"/>
        </w:rPr>
        <w:t>год</w:t>
      </w:r>
      <w:r w:rsidRPr="005617C9">
        <w:rPr>
          <w:rFonts w:ascii="Times New Roman" w:hAnsi="Times New Roman" w:cs="Times New Roman"/>
          <w:sz w:val="24"/>
          <w:szCs w:val="24"/>
        </w:rPr>
        <w:t>.</w:t>
      </w:r>
    </w:p>
    <w:p w:rsidR="0054094D" w:rsidRDefault="00782672" w:rsidP="005617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17</w:t>
      </w:r>
      <w:r w:rsidR="0054094D" w:rsidRPr="00DF344C">
        <w:rPr>
          <w:rFonts w:ascii="Times New Roman" w:hAnsi="Times New Roman" w:cs="Times New Roman"/>
          <w:sz w:val="24"/>
          <w:szCs w:val="24"/>
        </w:rPr>
        <w:t xml:space="preserve"> ГРБС,</w:t>
      </w:r>
      <w:r w:rsidR="0054094D" w:rsidRPr="00955B67">
        <w:rPr>
          <w:rFonts w:ascii="Times New Roman" w:hAnsi="Times New Roman" w:cs="Times New Roman"/>
          <w:sz w:val="24"/>
          <w:szCs w:val="24"/>
        </w:rPr>
        <w:t xml:space="preserve"> установивших государственные задани</w:t>
      </w:r>
      <w:r w:rsidR="00955B67" w:rsidRPr="00955B67">
        <w:rPr>
          <w:rFonts w:ascii="Times New Roman" w:hAnsi="Times New Roman" w:cs="Times New Roman"/>
          <w:sz w:val="24"/>
          <w:szCs w:val="24"/>
        </w:rPr>
        <w:t>я</w:t>
      </w:r>
      <w:r w:rsidR="0054094D" w:rsidRPr="0054094D">
        <w:rPr>
          <w:rFonts w:ascii="Times New Roman" w:hAnsi="Times New Roman" w:cs="Times New Roman"/>
          <w:sz w:val="24"/>
          <w:szCs w:val="24"/>
        </w:rPr>
        <w:t>, заполнили форму о результатах оценки эффективности и результативности выполнения государственных заданий на оказание государственных услуг (выполнение работ), получив при этом максимальную оценку – 1</w:t>
      </w:r>
      <w:r w:rsidR="00C23A1E">
        <w:rPr>
          <w:rFonts w:ascii="Times New Roman" w:hAnsi="Times New Roman" w:cs="Times New Roman"/>
          <w:sz w:val="24"/>
          <w:szCs w:val="24"/>
        </w:rPr>
        <w:t xml:space="preserve"> балл</w:t>
      </w:r>
      <w:r w:rsidR="0054094D" w:rsidRPr="005409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5B7" w:rsidRDefault="005617C9" w:rsidP="00F967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7C9">
        <w:rPr>
          <w:rFonts w:ascii="Times New Roman" w:hAnsi="Times New Roman" w:cs="Times New Roman"/>
          <w:sz w:val="24"/>
          <w:szCs w:val="24"/>
        </w:rPr>
        <w:t xml:space="preserve">По показателю «Соблюдение сроков представления бюджетной отчетности» </w:t>
      </w:r>
      <w:r w:rsidR="00784F53">
        <w:rPr>
          <w:rFonts w:ascii="Times New Roman" w:hAnsi="Times New Roman" w:cs="Times New Roman"/>
          <w:sz w:val="24"/>
          <w:szCs w:val="24"/>
        </w:rPr>
        <w:t>все 37</w:t>
      </w:r>
      <w:r w:rsidRPr="005617C9">
        <w:rPr>
          <w:rFonts w:ascii="Times New Roman" w:hAnsi="Times New Roman" w:cs="Times New Roman"/>
          <w:sz w:val="24"/>
          <w:szCs w:val="24"/>
        </w:rPr>
        <w:t xml:space="preserve"> оцениваемых ГРБС получили максимальную оценку – 1</w:t>
      </w:r>
      <w:r w:rsidR="00C23A1E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5617C9">
        <w:rPr>
          <w:rFonts w:ascii="Times New Roman" w:hAnsi="Times New Roman" w:cs="Times New Roman"/>
          <w:sz w:val="24"/>
          <w:szCs w:val="24"/>
        </w:rPr>
        <w:t xml:space="preserve">, представив ежегодную бухгалтерскую отчетность в Департамент финансов Ханты-Мансийского автономного округа – Югры без </w:t>
      </w:r>
      <w:r w:rsidR="00F96714">
        <w:rPr>
          <w:rFonts w:ascii="Times New Roman" w:hAnsi="Times New Roman" w:cs="Times New Roman"/>
          <w:sz w:val="24"/>
          <w:szCs w:val="24"/>
        </w:rPr>
        <w:t>нарушения установленных сроков.</w:t>
      </w:r>
    </w:p>
    <w:p w:rsidR="001D4299" w:rsidRPr="00E22FE5" w:rsidRDefault="00C23A1E" w:rsidP="001D42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Мониторинга</w:t>
      </w:r>
      <w:r w:rsidR="00F967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82672">
        <w:rPr>
          <w:rFonts w:ascii="Times New Roman" w:hAnsi="Times New Roman" w:cs="Times New Roman"/>
          <w:sz w:val="24"/>
          <w:szCs w:val="24"/>
        </w:rPr>
        <w:t>2020</w:t>
      </w:r>
      <w:r w:rsidR="00F9671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по данной группе показателей</w:t>
      </w:r>
      <w:r w:rsidR="00F967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оценивался</w:t>
      </w:r>
      <w:r w:rsidR="0036423B">
        <w:rPr>
          <w:rFonts w:ascii="Times New Roman" w:hAnsi="Times New Roman" w:cs="Times New Roman"/>
          <w:sz w:val="24"/>
          <w:szCs w:val="24"/>
        </w:rPr>
        <w:t xml:space="preserve"> </w:t>
      </w:r>
      <w:r w:rsidR="00F96714">
        <w:rPr>
          <w:rFonts w:ascii="Times New Roman" w:hAnsi="Times New Roman" w:cs="Times New Roman"/>
          <w:sz w:val="24"/>
          <w:szCs w:val="24"/>
        </w:rPr>
        <w:t>показатель «</w:t>
      </w:r>
      <w:r w:rsidR="00F96714" w:rsidRPr="00F96714">
        <w:rPr>
          <w:rFonts w:ascii="Times New Roman" w:hAnsi="Times New Roman" w:cs="Times New Roman"/>
          <w:sz w:val="24"/>
          <w:szCs w:val="24"/>
        </w:rPr>
        <w:t>Полнота</w:t>
      </w:r>
      <w:r w:rsidR="00733203">
        <w:rPr>
          <w:rFonts w:ascii="Times New Roman" w:hAnsi="Times New Roman" w:cs="Times New Roman"/>
          <w:sz w:val="24"/>
          <w:szCs w:val="24"/>
        </w:rPr>
        <w:t xml:space="preserve"> </w:t>
      </w:r>
      <w:r w:rsidR="00733203" w:rsidRPr="00733203">
        <w:rPr>
          <w:rFonts w:ascii="Times New Roman" w:hAnsi="Times New Roman" w:cs="Times New Roman"/>
          <w:sz w:val="24"/>
          <w:szCs w:val="24"/>
        </w:rPr>
        <w:t>и своевременность</w:t>
      </w:r>
      <w:r w:rsidR="00F96714" w:rsidRPr="00F96714">
        <w:rPr>
          <w:rFonts w:ascii="Times New Roman" w:hAnsi="Times New Roman" w:cs="Times New Roman"/>
          <w:sz w:val="24"/>
          <w:szCs w:val="24"/>
        </w:rPr>
        <w:t xml:space="preserve"> опубликования инфор</w:t>
      </w:r>
      <w:r w:rsidR="00F96714">
        <w:rPr>
          <w:rFonts w:ascii="Times New Roman" w:hAnsi="Times New Roman" w:cs="Times New Roman"/>
          <w:sz w:val="24"/>
          <w:szCs w:val="24"/>
        </w:rPr>
        <w:t>мации государственными учреждени</w:t>
      </w:r>
      <w:r w:rsidR="00F96714" w:rsidRPr="00F96714">
        <w:rPr>
          <w:rFonts w:ascii="Times New Roman" w:hAnsi="Times New Roman" w:cs="Times New Roman"/>
          <w:sz w:val="24"/>
          <w:szCs w:val="24"/>
        </w:rPr>
        <w:t xml:space="preserve">ями на официальном сайте для размещения информации о </w:t>
      </w:r>
      <w:r w:rsidR="00F96714" w:rsidRPr="00E22FE5">
        <w:rPr>
          <w:rFonts w:ascii="Times New Roman" w:hAnsi="Times New Roman" w:cs="Times New Roman"/>
          <w:sz w:val="24"/>
          <w:szCs w:val="24"/>
        </w:rPr>
        <w:t>государственных (муниципальных) учреждениях (www.bus.gov.ru) за отчетный период»</w:t>
      </w:r>
      <w:r w:rsidR="001D4299" w:rsidRPr="00E22FE5">
        <w:rPr>
          <w:rFonts w:ascii="Times New Roman" w:hAnsi="Times New Roman" w:cs="Times New Roman"/>
          <w:sz w:val="24"/>
          <w:szCs w:val="24"/>
        </w:rPr>
        <w:t>.</w:t>
      </w:r>
    </w:p>
    <w:p w:rsidR="001D4299" w:rsidRDefault="00782672" w:rsidP="001D42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1D4299" w:rsidRPr="00E22FE5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осударственное учреждение из 272</w:t>
      </w:r>
      <w:r w:rsidR="001D4299" w:rsidRPr="00E22FE5">
        <w:rPr>
          <w:rFonts w:ascii="Times New Roman" w:hAnsi="Times New Roman" w:cs="Times New Roman"/>
          <w:sz w:val="24"/>
          <w:szCs w:val="24"/>
        </w:rPr>
        <w:t xml:space="preserve"> не обеспечили размещение необходимой информации в полном</w:t>
      </w:r>
      <w:r w:rsidR="00C71DF0">
        <w:rPr>
          <w:rFonts w:ascii="Times New Roman" w:hAnsi="Times New Roman" w:cs="Times New Roman"/>
          <w:sz w:val="24"/>
          <w:szCs w:val="24"/>
        </w:rPr>
        <w:t xml:space="preserve"> объеме и в установленные сроки. </w:t>
      </w:r>
      <w:r w:rsidR="0082590C">
        <w:rPr>
          <w:rFonts w:ascii="Times New Roman" w:hAnsi="Times New Roman" w:cs="Times New Roman"/>
          <w:sz w:val="24"/>
          <w:szCs w:val="24"/>
        </w:rPr>
        <w:t>Таким образом 7</w:t>
      </w:r>
      <w:r w:rsidR="00AF10E8" w:rsidRPr="00E22FE5">
        <w:rPr>
          <w:rFonts w:ascii="Times New Roman" w:hAnsi="Times New Roman" w:cs="Times New Roman"/>
          <w:sz w:val="24"/>
          <w:szCs w:val="24"/>
        </w:rPr>
        <w:t xml:space="preserve"> курирующих</w:t>
      </w:r>
      <w:r w:rsidR="001D4299" w:rsidRPr="00E22FE5">
        <w:rPr>
          <w:rFonts w:ascii="Times New Roman" w:hAnsi="Times New Roman" w:cs="Times New Roman"/>
          <w:sz w:val="24"/>
          <w:szCs w:val="24"/>
        </w:rPr>
        <w:t xml:space="preserve"> их ГРБС</w:t>
      </w:r>
      <w:r w:rsidR="00F352FB">
        <w:rPr>
          <w:rFonts w:ascii="Times New Roman" w:hAnsi="Times New Roman" w:cs="Times New Roman"/>
          <w:sz w:val="24"/>
          <w:szCs w:val="24"/>
        </w:rPr>
        <w:t xml:space="preserve">, </w:t>
      </w:r>
      <w:r w:rsidR="00F352FB" w:rsidRPr="0082590C">
        <w:rPr>
          <w:rFonts w:ascii="Times New Roman" w:hAnsi="Times New Roman" w:cs="Times New Roman"/>
          <w:sz w:val="24"/>
          <w:szCs w:val="24"/>
        </w:rPr>
        <w:t>чья доля государственных учреждений</w:t>
      </w:r>
      <w:r w:rsidR="006E08D2" w:rsidRPr="0082590C">
        <w:rPr>
          <w:rFonts w:ascii="Times New Roman" w:hAnsi="Times New Roman" w:cs="Times New Roman"/>
          <w:sz w:val="24"/>
          <w:szCs w:val="24"/>
        </w:rPr>
        <w:t xml:space="preserve"> несвоевременно и (или) не в полном объеме разместивших информацию не превысила 95%</w:t>
      </w:r>
      <w:r w:rsidR="0069070B" w:rsidRPr="0082590C">
        <w:rPr>
          <w:rFonts w:ascii="Times New Roman" w:hAnsi="Times New Roman" w:cs="Times New Roman"/>
          <w:sz w:val="24"/>
          <w:szCs w:val="24"/>
        </w:rPr>
        <w:t xml:space="preserve"> от общего количества учреждений </w:t>
      </w:r>
      <w:r w:rsidR="00EA5DC9" w:rsidRPr="0082590C">
        <w:rPr>
          <w:rFonts w:ascii="Times New Roman" w:hAnsi="Times New Roman" w:cs="Times New Roman"/>
          <w:sz w:val="24"/>
          <w:szCs w:val="24"/>
        </w:rPr>
        <w:t>ГРБС</w:t>
      </w:r>
      <w:r w:rsidR="006E08D2">
        <w:rPr>
          <w:rFonts w:ascii="Times New Roman" w:hAnsi="Times New Roman" w:cs="Times New Roman"/>
          <w:sz w:val="24"/>
          <w:szCs w:val="24"/>
        </w:rPr>
        <w:t>,</w:t>
      </w:r>
      <w:r w:rsidR="00F352FB">
        <w:rPr>
          <w:rFonts w:ascii="Times New Roman" w:hAnsi="Times New Roman" w:cs="Times New Roman"/>
          <w:sz w:val="24"/>
          <w:szCs w:val="24"/>
        </w:rPr>
        <w:t xml:space="preserve"> </w:t>
      </w:r>
      <w:r w:rsidR="001D4299" w:rsidRPr="00E22FE5">
        <w:rPr>
          <w:rFonts w:ascii="Times New Roman" w:hAnsi="Times New Roman" w:cs="Times New Roman"/>
          <w:sz w:val="24"/>
          <w:szCs w:val="24"/>
        </w:rPr>
        <w:t>получили минимальную оценку – 0</w:t>
      </w:r>
      <w:r w:rsidR="00C23A1E" w:rsidRPr="00E22FE5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6E08D2">
        <w:rPr>
          <w:rFonts w:ascii="Times New Roman" w:hAnsi="Times New Roman" w:cs="Times New Roman"/>
          <w:sz w:val="24"/>
          <w:szCs w:val="24"/>
        </w:rPr>
        <w:t>:</w:t>
      </w:r>
    </w:p>
    <w:p w:rsidR="0069070B" w:rsidRDefault="0082590C" w:rsidP="0082590C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82590C">
        <w:t>Департамент дорожного хозяйства и транспорта Ханты-Мансийского автономного округа – Югры</w:t>
      </w:r>
      <w:r w:rsidR="0069070B">
        <w:t>;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общественных и внешних связей Ханты-Мансийского автономного округа – Югры</w:t>
      </w:r>
      <w:r>
        <w:t>;</w:t>
      </w:r>
    </w:p>
    <w:p w:rsidR="0069070B" w:rsidRDefault="0082590C" w:rsidP="0082590C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82590C">
        <w:t>Департамент образования и молодежной политики Ханты-Мансийского автономного округа – Югры</w:t>
      </w:r>
      <w:r w:rsidR="0069070B">
        <w:t>;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социального развития Ханты-Мансийского автономного округа – Югры</w:t>
      </w:r>
      <w:r>
        <w:t>;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труда и занятости населения Ханты-Мансийского автономного округа – Югры</w:t>
      </w:r>
      <w:r>
        <w:t>;</w:t>
      </w:r>
    </w:p>
    <w:p w:rsidR="0069070B" w:rsidRDefault="0082590C" w:rsidP="0082590C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82590C">
        <w:t>Департамент культуры Ханты-Мансийского автономного округа – Югры</w:t>
      </w:r>
      <w:r w:rsidR="0069070B">
        <w:t>;</w:t>
      </w:r>
    </w:p>
    <w:p w:rsidR="0082590C" w:rsidRDefault="0082590C" w:rsidP="0082590C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82590C">
        <w:t>Служба по делам архивов Ханты-Мансийского автономного округа – Югры</w:t>
      </w:r>
      <w:r>
        <w:t>.</w:t>
      </w:r>
    </w:p>
    <w:p w:rsidR="00F96714" w:rsidRDefault="001C4AC0" w:rsidP="00A67E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Остальные </w:t>
      </w:r>
      <w:r w:rsidR="0051046A">
        <w:rPr>
          <w:rFonts w:ascii="Times New Roman" w:hAnsi="Times New Roman" w:cs="Times New Roman"/>
          <w:sz w:val="24"/>
          <w:szCs w:val="24"/>
        </w:rPr>
        <w:t>14</w:t>
      </w:r>
      <w:r w:rsidR="00AD2528">
        <w:rPr>
          <w:rFonts w:ascii="Times New Roman" w:hAnsi="Times New Roman" w:cs="Times New Roman"/>
          <w:sz w:val="24"/>
          <w:szCs w:val="24"/>
        </w:rPr>
        <w:t xml:space="preserve"> из 21</w:t>
      </w:r>
      <w:r w:rsidR="00854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ГРБС, </w:t>
      </w:r>
      <w:r w:rsidR="008540E3">
        <w:rPr>
          <w:rFonts w:ascii="Times New Roman" w:hAnsi="Times New Roman" w:cs="Times New Roman"/>
          <w:sz w:val="24"/>
          <w:szCs w:val="24"/>
        </w:rPr>
        <w:t>оцениваемых по данному показателю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40E3">
        <w:rPr>
          <w:rFonts w:ascii="Times New Roman" w:hAnsi="Times New Roman" w:cs="Times New Roman"/>
          <w:sz w:val="24"/>
          <w:szCs w:val="24"/>
        </w:rPr>
        <w:t xml:space="preserve"> получили максимальную оценку – 1</w:t>
      </w:r>
      <w:r w:rsidR="00C23A1E">
        <w:rPr>
          <w:rFonts w:ascii="Times New Roman" w:hAnsi="Times New Roman" w:cs="Times New Roman"/>
          <w:sz w:val="24"/>
          <w:szCs w:val="24"/>
        </w:rPr>
        <w:t xml:space="preserve"> балл</w:t>
      </w:r>
      <w:r w:rsidR="00AF10E8">
        <w:rPr>
          <w:rFonts w:ascii="Times New Roman" w:hAnsi="Times New Roman" w:cs="Times New Roman"/>
          <w:sz w:val="24"/>
          <w:szCs w:val="24"/>
        </w:rPr>
        <w:t>:</w:t>
      </w:r>
    </w:p>
    <w:p w:rsidR="00AF10E8" w:rsidRDefault="0051046A" w:rsidP="0051046A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51046A">
        <w:lastRenderedPageBreak/>
        <w:t>Департамент физической культуры и спорта Ханты-Мансийского автономного округа – Югры</w:t>
      </w:r>
      <w:r w:rsidR="00AF10E8">
        <w:t>;</w:t>
      </w:r>
    </w:p>
    <w:p w:rsidR="00AD2528" w:rsidRDefault="0051046A" w:rsidP="0051046A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51046A">
        <w:t>Департамент недропользования и природных ресурсов Ханты-Мансийского автономного округа – Югры</w:t>
      </w:r>
      <w:r w:rsidR="00AD2528">
        <w:t>;</w:t>
      </w:r>
    </w:p>
    <w:p w:rsidR="00AF10E8" w:rsidRDefault="00AF10E8" w:rsidP="00A67E14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F10E8">
        <w:t>Департамент гражданской защиты населения Ханты-Мансийского автономного округа – Югры</w:t>
      </w:r>
      <w:r w:rsidR="00A67E14">
        <w:t>;</w:t>
      </w:r>
    </w:p>
    <w:p w:rsidR="00A67E14" w:rsidRDefault="00A67E14" w:rsidP="00A67E14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67E14">
        <w:t>Служба жилищного и строительного надзора Ханты-Мансийского автономного округа – Югры</w:t>
      </w:r>
      <w:r>
        <w:t>;</w:t>
      </w:r>
    </w:p>
    <w:p w:rsidR="00AD2528" w:rsidRDefault="00AD2528" w:rsidP="00AD2528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D2528">
        <w:t>Департамент по управлению государственным имуществом Ханты-Мансийского автономного округа – Югры</w:t>
      </w:r>
      <w:r>
        <w:t>;</w:t>
      </w:r>
    </w:p>
    <w:p w:rsidR="00AD2528" w:rsidRDefault="00AD2528" w:rsidP="00AD2528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D2528">
        <w:t>Департамент строительства Ханты-Мансийского автономного округа – Югры</w:t>
      </w:r>
      <w:r>
        <w:t>;</w:t>
      </w:r>
    </w:p>
    <w:p w:rsidR="00AD2528" w:rsidRDefault="00AD2528" w:rsidP="00AD2528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D2528">
        <w:t>Служба государственной охраны объектов культурного наследия Ханты-Мансийского автономного округа – Югры</w:t>
      </w:r>
      <w:r>
        <w:t>;</w:t>
      </w:r>
    </w:p>
    <w:p w:rsidR="00A67E14" w:rsidRDefault="0051046A" w:rsidP="0051046A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51046A">
        <w:t>Департамент государственной гражданской службы и кадровой политики Ханты-Мансийского автономного округа – Югры</w:t>
      </w:r>
      <w:r w:rsidR="00A67E14">
        <w:t>;</w:t>
      </w:r>
    </w:p>
    <w:p w:rsidR="00A67E14" w:rsidRDefault="00A67E14" w:rsidP="00A67E14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67E14">
        <w:t>Департамент информационных технологий Ханты-Мансийского автономного округа – Югры</w:t>
      </w:r>
      <w:r>
        <w:t>;</w:t>
      </w:r>
    </w:p>
    <w:p w:rsidR="00A67E14" w:rsidRDefault="00A67E14" w:rsidP="00A67E14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67E14">
        <w:t>Департамент экономического развития Ханты-Мансийского автономного округа – Югры</w:t>
      </w:r>
      <w:r>
        <w:t>;</w:t>
      </w:r>
    </w:p>
    <w:p w:rsidR="0051046A" w:rsidRDefault="0051046A" w:rsidP="0051046A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51046A">
        <w:t>Департамент здравоохранения Ханты-Мансийского автономного округа – Югры</w:t>
      </w:r>
      <w:r>
        <w:t>;</w:t>
      </w:r>
    </w:p>
    <w:p w:rsidR="00A67E14" w:rsidRDefault="00A67E14" w:rsidP="00A67E14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67E14">
        <w:t>Ветеринарная служба Ханты-Мансийского автономного округа – Югры</w:t>
      </w:r>
      <w:r w:rsidR="00AD2528">
        <w:t>;</w:t>
      </w:r>
    </w:p>
    <w:p w:rsidR="00AD2528" w:rsidRDefault="00AD2528" w:rsidP="00AD2528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D2528">
        <w:t>Аппарат Губернатора Ханты-Мансийского автономного округа – Югры</w:t>
      </w:r>
      <w:r>
        <w:t>;</w:t>
      </w:r>
    </w:p>
    <w:p w:rsidR="00592D31" w:rsidRDefault="00AD2528" w:rsidP="00592D31">
      <w:pPr>
        <w:pStyle w:val="a3"/>
        <w:numPr>
          <w:ilvl w:val="0"/>
          <w:numId w:val="40"/>
        </w:numPr>
        <w:spacing w:line="360" w:lineRule="auto"/>
        <w:ind w:left="0" w:firstLine="0"/>
      </w:pPr>
      <w:r w:rsidRPr="00AD2528">
        <w:t>Департамент промышленности Ханты-Мансийского автономного округа – Югры</w:t>
      </w:r>
      <w:r>
        <w:t>.</w:t>
      </w:r>
    </w:p>
    <w:p w:rsidR="00A73D41" w:rsidRPr="00592D31" w:rsidRDefault="00A73D41" w:rsidP="00A73D41">
      <w:pPr>
        <w:pStyle w:val="a3"/>
        <w:spacing w:line="360" w:lineRule="auto"/>
        <w:ind w:left="0" w:firstLine="709"/>
      </w:pPr>
      <w:r w:rsidRPr="00592D31">
        <w:rPr>
          <w:u w:val="single"/>
        </w:rPr>
        <w:t>Средняя оценка</w:t>
      </w:r>
      <w:r w:rsidRPr="00592D31">
        <w:t xml:space="preserve"> качества финансового менеджмента по группе показателей «Учёт и отчётность» по 37 оцениваемым ГРБС с учетом удельного веса показате</w:t>
      </w:r>
      <w:r>
        <w:t>лей данной группы составила 95,6</w:t>
      </w:r>
      <w:r w:rsidRPr="00592D31">
        <w:t xml:space="preserve"> балла по 100-балльной шкале.</w:t>
      </w:r>
    </w:p>
    <w:p w:rsidR="00A73D41" w:rsidRPr="00A73D41" w:rsidRDefault="00A73D41" w:rsidP="00A73D41">
      <w:pPr>
        <w:pStyle w:val="a3"/>
        <w:spacing w:line="360" w:lineRule="auto"/>
        <w:ind w:left="0" w:firstLine="709"/>
      </w:pPr>
      <w:r w:rsidRPr="00A73D41">
        <w:t>Максимальную оценку 100,0 баллов по данной группе показателей получили 30 ГРБС, или 81,1 % от оцениваемого их количества.</w:t>
      </w:r>
    </w:p>
    <w:p w:rsidR="004C16C3" w:rsidRDefault="004C16C3" w:rsidP="0059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3D41" w:rsidRDefault="00A73D41" w:rsidP="0059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3D41" w:rsidRDefault="00A73D41" w:rsidP="0059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9408A" w:rsidRDefault="00C9408A" w:rsidP="00EA5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08A" w:rsidRDefault="00C9408A" w:rsidP="00EA5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08A" w:rsidRDefault="00C9408A" w:rsidP="00EA5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08A" w:rsidRDefault="00C9408A" w:rsidP="00EA5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08A" w:rsidRDefault="00C9408A" w:rsidP="00EA5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5B67" w:rsidRDefault="00955B67" w:rsidP="00EA5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B67">
        <w:rPr>
          <w:rFonts w:ascii="Times New Roman" w:hAnsi="Times New Roman" w:cs="Times New Roman"/>
          <w:b/>
          <w:sz w:val="28"/>
          <w:szCs w:val="28"/>
        </w:rPr>
        <w:lastRenderedPageBreak/>
        <w:t>Учет и отчетность</w:t>
      </w:r>
    </w:p>
    <w:p w:rsidR="004C16C3" w:rsidRDefault="00694A2E" w:rsidP="004C16C3">
      <w:pPr>
        <w:spacing w:after="240" w:line="360" w:lineRule="auto"/>
        <w:ind w:left="-993" w:right="-569"/>
        <w:jc w:val="center"/>
        <w:rPr>
          <w:u w:val="single"/>
        </w:rPr>
      </w:pPr>
      <w:r>
        <w:rPr>
          <w:noProof/>
        </w:rPr>
        <w:drawing>
          <wp:inline distT="0" distB="0" distL="0" distR="0" wp14:anchorId="4942735F" wp14:editId="1550D184">
            <wp:extent cx="6949440" cy="4985468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9244D" w:rsidRDefault="00B46F24" w:rsidP="009C40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Наименьшую оценку</w:t>
      </w:r>
      <w:r w:rsidR="00694A2E">
        <w:rPr>
          <w:rFonts w:ascii="Times New Roman" w:hAnsi="Times New Roman" w:cs="Times New Roman"/>
          <w:sz w:val="24"/>
          <w:szCs w:val="24"/>
        </w:rPr>
        <w:t xml:space="preserve"> 73</w:t>
      </w:r>
      <w:r w:rsidR="0053748A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9C40C2" w:rsidRPr="009C40C2">
        <w:rPr>
          <w:rFonts w:ascii="Times New Roman" w:hAnsi="Times New Roman" w:cs="Times New Roman"/>
          <w:sz w:val="24"/>
          <w:szCs w:val="24"/>
        </w:rPr>
        <w:t xml:space="preserve"> </w:t>
      </w:r>
      <w:r w:rsidR="009C40C2">
        <w:rPr>
          <w:rFonts w:ascii="Times New Roman" w:hAnsi="Times New Roman" w:cs="Times New Roman"/>
          <w:sz w:val="24"/>
          <w:szCs w:val="24"/>
        </w:rPr>
        <w:t xml:space="preserve">по группе показателей «Учёт и отчётность» </w:t>
      </w:r>
      <w:r w:rsidR="00694A2E">
        <w:rPr>
          <w:rFonts w:ascii="Times New Roman" w:hAnsi="Times New Roman" w:cs="Times New Roman"/>
          <w:sz w:val="24"/>
          <w:szCs w:val="24"/>
        </w:rPr>
        <w:t>имею</w:t>
      </w:r>
      <w:r w:rsidR="009C40C2" w:rsidRPr="009C40C2">
        <w:rPr>
          <w:rFonts w:ascii="Times New Roman" w:hAnsi="Times New Roman" w:cs="Times New Roman"/>
          <w:sz w:val="24"/>
          <w:szCs w:val="24"/>
        </w:rPr>
        <w:t>т</w:t>
      </w:r>
      <w:r w:rsidR="0053748A">
        <w:rPr>
          <w:rFonts w:ascii="Times New Roman" w:hAnsi="Times New Roman" w:cs="Times New Roman"/>
          <w:sz w:val="24"/>
          <w:szCs w:val="24"/>
        </w:rPr>
        <w:t xml:space="preserve"> </w:t>
      </w:r>
      <w:r w:rsidR="0053748A" w:rsidRPr="0053748A">
        <w:rPr>
          <w:rFonts w:ascii="Times New Roman" w:hAnsi="Times New Roman" w:cs="Times New Roman"/>
          <w:sz w:val="24"/>
          <w:szCs w:val="24"/>
        </w:rPr>
        <w:t>Департамент труда и занятости населения Ханты-Мансийского автономного округа – Югры</w:t>
      </w:r>
      <w:r w:rsidR="00694A2E">
        <w:rPr>
          <w:rFonts w:ascii="Times New Roman" w:hAnsi="Times New Roman" w:cs="Times New Roman"/>
          <w:sz w:val="24"/>
          <w:szCs w:val="24"/>
        </w:rPr>
        <w:t xml:space="preserve">, </w:t>
      </w:r>
      <w:r w:rsidR="00694A2E" w:rsidRPr="00694A2E">
        <w:rPr>
          <w:rFonts w:ascii="Times New Roman" w:hAnsi="Times New Roman" w:cs="Times New Roman"/>
          <w:sz w:val="24"/>
          <w:szCs w:val="24"/>
        </w:rPr>
        <w:t>Служба по делам архивов Ханты-Мансийского автономного округа – Югры</w:t>
      </w:r>
      <w:r w:rsidR="00694A2E">
        <w:rPr>
          <w:rFonts w:ascii="Times New Roman" w:hAnsi="Times New Roman" w:cs="Times New Roman"/>
          <w:sz w:val="24"/>
          <w:szCs w:val="24"/>
        </w:rPr>
        <w:t xml:space="preserve">, </w:t>
      </w:r>
      <w:r w:rsidR="00694A2E" w:rsidRPr="00694A2E">
        <w:rPr>
          <w:rFonts w:ascii="Times New Roman" w:hAnsi="Times New Roman" w:cs="Times New Roman"/>
          <w:sz w:val="24"/>
          <w:szCs w:val="24"/>
        </w:rPr>
        <w:t>Департамент дорожного хозяйства и транспорта Ханты-Мансийского автономного округа – Югры</w:t>
      </w:r>
      <w:r w:rsidR="00694A2E">
        <w:rPr>
          <w:rFonts w:ascii="Times New Roman" w:hAnsi="Times New Roman" w:cs="Times New Roman"/>
          <w:sz w:val="24"/>
          <w:szCs w:val="24"/>
        </w:rPr>
        <w:t>. Остальные 4</w:t>
      </w:r>
      <w:r w:rsidR="003D6570">
        <w:rPr>
          <w:rFonts w:ascii="Times New Roman" w:hAnsi="Times New Roman" w:cs="Times New Roman"/>
          <w:sz w:val="24"/>
          <w:szCs w:val="24"/>
        </w:rPr>
        <w:t xml:space="preserve"> ГРБС</w:t>
      </w:r>
      <w:r w:rsidR="0053748A">
        <w:rPr>
          <w:rFonts w:ascii="Times New Roman" w:hAnsi="Times New Roman" w:cs="Times New Roman"/>
          <w:sz w:val="24"/>
          <w:szCs w:val="24"/>
        </w:rPr>
        <w:t xml:space="preserve"> получили оценку по данной группе показателей 80 баллов.</w:t>
      </w:r>
      <w:r w:rsidR="009C40C2" w:rsidRPr="005B6B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40C2" w:rsidRPr="009C40C2" w:rsidRDefault="0019244D" w:rsidP="009C40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7 ГРБС, или 18,9</w:t>
      </w:r>
      <w:r w:rsidR="003D6570">
        <w:rPr>
          <w:rFonts w:ascii="Times New Roman" w:hAnsi="Times New Roman" w:cs="Times New Roman"/>
          <w:sz w:val="24"/>
          <w:szCs w:val="24"/>
        </w:rPr>
        <w:t xml:space="preserve"> % от оцениваемого их количества, получили итоговую оценку по данной группе показателей ниже средней.</w:t>
      </w:r>
    </w:p>
    <w:p w:rsidR="000C390B" w:rsidRPr="00145D64" w:rsidRDefault="00266EAD" w:rsidP="00AC233C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5D64">
        <w:rPr>
          <w:rFonts w:ascii="Times New Roman" w:hAnsi="Times New Roman" w:cs="Times New Roman"/>
          <w:b/>
          <w:sz w:val="24"/>
          <w:szCs w:val="24"/>
        </w:rPr>
        <w:t>5</w:t>
      </w:r>
      <w:r w:rsidR="000C390B" w:rsidRPr="00145D64">
        <w:rPr>
          <w:rFonts w:ascii="Times New Roman" w:hAnsi="Times New Roman" w:cs="Times New Roman"/>
          <w:b/>
          <w:sz w:val="24"/>
          <w:szCs w:val="24"/>
        </w:rPr>
        <w:t>. Контроль и аудит</w:t>
      </w:r>
    </w:p>
    <w:p w:rsidR="00FF7E74" w:rsidRDefault="003634FB" w:rsidP="00257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18060E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 из 21</w:t>
      </w:r>
      <w:r w:rsidR="002A19DA" w:rsidRPr="00FF7E74">
        <w:rPr>
          <w:rFonts w:ascii="Times New Roman" w:hAnsi="Times New Roman" w:cs="Times New Roman"/>
          <w:sz w:val="24"/>
          <w:szCs w:val="24"/>
        </w:rPr>
        <w:t xml:space="preserve"> </w:t>
      </w:r>
      <w:r w:rsidR="00BB10CC" w:rsidRPr="00FF7E74">
        <w:rPr>
          <w:rFonts w:ascii="Times New Roman" w:hAnsi="Times New Roman" w:cs="Times New Roman"/>
          <w:sz w:val="24"/>
          <w:szCs w:val="24"/>
        </w:rPr>
        <w:t>ГРБС</w:t>
      </w:r>
      <w:r>
        <w:rPr>
          <w:rFonts w:ascii="Times New Roman" w:hAnsi="Times New Roman" w:cs="Times New Roman"/>
          <w:sz w:val="24"/>
          <w:szCs w:val="24"/>
        </w:rPr>
        <w:t>, имеющих подведомственные государственные учреждения,</w:t>
      </w:r>
      <w:r w:rsidR="00BB10CC">
        <w:rPr>
          <w:rFonts w:ascii="Times New Roman" w:hAnsi="Times New Roman" w:cs="Times New Roman"/>
          <w:sz w:val="24"/>
          <w:szCs w:val="24"/>
        </w:rPr>
        <w:t xml:space="preserve"> были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запланированы проверки в </w:t>
      </w:r>
      <w:r w:rsidR="002A19DA">
        <w:rPr>
          <w:rFonts w:ascii="Times New Roman" w:hAnsi="Times New Roman" w:cs="Times New Roman"/>
          <w:sz w:val="24"/>
          <w:szCs w:val="24"/>
        </w:rPr>
        <w:t>государственных учреждениях</w:t>
      </w:r>
      <w:r w:rsidR="00BB10CC">
        <w:rPr>
          <w:rFonts w:ascii="Times New Roman" w:hAnsi="Times New Roman" w:cs="Times New Roman"/>
          <w:sz w:val="24"/>
          <w:szCs w:val="24"/>
        </w:rPr>
        <w:t xml:space="preserve">, </w:t>
      </w:r>
      <w:r w:rsidR="00EC40D4" w:rsidRPr="00EC40D4">
        <w:rPr>
          <w:rFonts w:ascii="Times New Roman" w:hAnsi="Times New Roman" w:cs="Times New Roman"/>
          <w:sz w:val="24"/>
          <w:szCs w:val="24"/>
        </w:rPr>
        <w:t>включен</w:t>
      </w:r>
      <w:r w:rsidR="00BB10CC">
        <w:rPr>
          <w:rFonts w:ascii="Times New Roman" w:hAnsi="Times New Roman" w:cs="Times New Roman"/>
          <w:sz w:val="24"/>
          <w:szCs w:val="24"/>
        </w:rPr>
        <w:t>ные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в планы</w:t>
      </w:r>
      <w:r w:rsidR="0018060E">
        <w:rPr>
          <w:rFonts w:ascii="Times New Roman" w:hAnsi="Times New Roman" w:cs="Times New Roman"/>
          <w:sz w:val="24"/>
          <w:szCs w:val="24"/>
        </w:rPr>
        <w:t xml:space="preserve"> контрольных мероприятий на 2020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год. </w:t>
      </w:r>
      <w:r w:rsidR="001576FC">
        <w:rPr>
          <w:rFonts w:ascii="Times New Roman" w:hAnsi="Times New Roman" w:cs="Times New Roman"/>
          <w:sz w:val="24"/>
          <w:szCs w:val="24"/>
        </w:rPr>
        <w:t>З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апланированные контрольные мероприятия </w:t>
      </w:r>
      <w:r w:rsidR="00EC40D4">
        <w:rPr>
          <w:rFonts w:ascii="Times New Roman" w:hAnsi="Times New Roman" w:cs="Times New Roman"/>
          <w:sz w:val="24"/>
          <w:szCs w:val="24"/>
        </w:rPr>
        <w:t xml:space="preserve">были </w:t>
      </w:r>
      <w:r w:rsidR="00EC40D4" w:rsidRPr="00EC40D4">
        <w:rPr>
          <w:rFonts w:ascii="Times New Roman" w:hAnsi="Times New Roman" w:cs="Times New Roman"/>
          <w:sz w:val="24"/>
          <w:szCs w:val="24"/>
        </w:rPr>
        <w:t>выполн</w:t>
      </w:r>
      <w:r w:rsidR="00EC40D4">
        <w:rPr>
          <w:rFonts w:ascii="Times New Roman" w:hAnsi="Times New Roman" w:cs="Times New Roman"/>
          <w:sz w:val="24"/>
          <w:szCs w:val="24"/>
        </w:rPr>
        <w:t>ены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в полном </w:t>
      </w:r>
      <w:r w:rsidR="00EC40D4" w:rsidRPr="00BF7E7F">
        <w:rPr>
          <w:rFonts w:ascii="Times New Roman" w:hAnsi="Times New Roman" w:cs="Times New Roman"/>
          <w:sz w:val="24"/>
          <w:szCs w:val="24"/>
        </w:rPr>
        <w:t>объеме</w:t>
      </w:r>
      <w:r w:rsidR="00213FF0" w:rsidRPr="00BF7E7F">
        <w:rPr>
          <w:rFonts w:ascii="Times New Roman" w:hAnsi="Times New Roman" w:cs="Times New Roman"/>
          <w:sz w:val="24"/>
          <w:szCs w:val="24"/>
        </w:rPr>
        <w:t xml:space="preserve"> </w:t>
      </w:r>
      <w:r w:rsidR="001576FC" w:rsidRPr="00BF7E7F">
        <w:rPr>
          <w:rFonts w:ascii="Times New Roman" w:hAnsi="Times New Roman" w:cs="Times New Roman"/>
          <w:sz w:val="24"/>
          <w:szCs w:val="24"/>
        </w:rPr>
        <w:t>16 из 18 ГРБС</w:t>
      </w:r>
      <w:r w:rsidR="00C54DA1" w:rsidRPr="00BF7E7F">
        <w:rPr>
          <w:rFonts w:ascii="Times New Roman" w:hAnsi="Times New Roman" w:cs="Times New Roman"/>
          <w:sz w:val="24"/>
          <w:szCs w:val="24"/>
        </w:rPr>
        <w:t>.</w:t>
      </w:r>
      <w:r w:rsidR="00773128" w:rsidRPr="00BF7E7F">
        <w:rPr>
          <w:rFonts w:ascii="Times New Roman" w:hAnsi="Times New Roman" w:cs="Times New Roman"/>
          <w:sz w:val="24"/>
          <w:szCs w:val="24"/>
        </w:rPr>
        <w:t xml:space="preserve"> </w:t>
      </w:r>
      <w:r w:rsidR="00BF7E7F" w:rsidRPr="00BF7E7F">
        <w:rPr>
          <w:rFonts w:ascii="Times New Roman" w:hAnsi="Times New Roman" w:cs="Times New Roman"/>
          <w:sz w:val="24"/>
          <w:szCs w:val="24"/>
        </w:rPr>
        <w:t xml:space="preserve">Кроме запланированных, были проведены внеплановые </w:t>
      </w:r>
      <w:r w:rsidR="00C9408A" w:rsidRPr="00BF7E7F">
        <w:rPr>
          <w:rFonts w:ascii="Times New Roman" w:hAnsi="Times New Roman" w:cs="Times New Roman"/>
          <w:sz w:val="24"/>
          <w:szCs w:val="24"/>
        </w:rPr>
        <w:t>контрольны</w:t>
      </w:r>
      <w:r w:rsidR="00BF7E7F" w:rsidRPr="00BF7E7F">
        <w:rPr>
          <w:rFonts w:ascii="Times New Roman" w:hAnsi="Times New Roman" w:cs="Times New Roman"/>
          <w:sz w:val="24"/>
          <w:szCs w:val="24"/>
        </w:rPr>
        <w:t>е</w:t>
      </w:r>
      <w:r w:rsidR="00C9408A" w:rsidRPr="00BF7E7F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BF7E7F" w:rsidRPr="00BF7E7F">
        <w:rPr>
          <w:rFonts w:ascii="Times New Roman" w:hAnsi="Times New Roman" w:cs="Times New Roman"/>
          <w:sz w:val="24"/>
          <w:szCs w:val="24"/>
        </w:rPr>
        <w:t>я</w:t>
      </w:r>
      <w:r w:rsidR="00C9408A">
        <w:rPr>
          <w:rFonts w:ascii="Times New Roman" w:hAnsi="Times New Roman" w:cs="Times New Roman"/>
          <w:sz w:val="24"/>
          <w:szCs w:val="24"/>
        </w:rPr>
        <w:t xml:space="preserve">. </w:t>
      </w:r>
      <w:r w:rsidR="001576FC">
        <w:rPr>
          <w:rFonts w:ascii="Times New Roman" w:hAnsi="Times New Roman" w:cs="Times New Roman"/>
          <w:sz w:val="24"/>
          <w:szCs w:val="24"/>
        </w:rPr>
        <w:t>Всем 16</w:t>
      </w:r>
      <w:r w:rsidR="00BB10CC">
        <w:rPr>
          <w:rFonts w:ascii="Times New Roman" w:hAnsi="Times New Roman" w:cs="Times New Roman"/>
          <w:sz w:val="24"/>
          <w:szCs w:val="24"/>
        </w:rPr>
        <w:t xml:space="preserve"> </w:t>
      </w:r>
      <w:r w:rsidR="00EC40D4">
        <w:rPr>
          <w:rFonts w:ascii="Times New Roman" w:hAnsi="Times New Roman" w:cs="Times New Roman"/>
          <w:sz w:val="24"/>
          <w:szCs w:val="24"/>
        </w:rPr>
        <w:t>ГРБС</w:t>
      </w:r>
      <w:r w:rsidR="001576FC">
        <w:rPr>
          <w:rFonts w:ascii="Times New Roman" w:hAnsi="Times New Roman" w:cs="Times New Roman"/>
          <w:sz w:val="24"/>
          <w:szCs w:val="24"/>
        </w:rPr>
        <w:t xml:space="preserve"> была</w:t>
      </w:r>
      <w:r w:rsidR="00EC40D4">
        <w:rPr>
          <w:rFonts w:ascii="Times New Roman" w:hAnsi="Times New Roman" w:cs="Times New Roman"/>
          <w:sz w:val="24"/>
          <w:szCs w:val="24"/>
        </w:rPr>
        <w:t xml:space="preserve"> </w:t>
      </w:r>
      <w:r w:rsidR="00BB10CC">
        <w:rPr>
          <w:rFonts w:ascii="Times New Roman" w:hAnsi="Times New Roman" w:cs="Times New Roman"/>
          <w:sz w:val="24"/>
          <w:szCs w:val="24"/>
        </w:rPr>
        <w:t>присвоена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</w:t>
      </w:r>
      <w:r w:rsidR="00BB10CC">
        <w:rPr>
          <w:rFonts w:ascii="Times New Roman" w:hAnsi="Times New Roman" w:cs="Times New Roman"/>
          <w:sz w:val="24"/>
          <w:szCs w:val="24"/>
        </w:rPr>
        <w:t>наи</w:t>
      </w:r>
      <w:r w:rsidR="00EC40D4" w:rsidRPr="00EC40D4">
        <w:rPr>
          <w:rFonts w:ascii="Times New Roman" w:hAnsi="Times New Roman" w:cs="Times New Roman"/>
          <w:sz w:val="24"/>
          <w:szCs w:val="24"/>
        </w:rPr>
        <w:t>высшая оценка – 1</w:t>
      </w:r>
      <w:r w:rsidR="00BB10CC">
        <w:rPr>
          <w:rFonts w:ascii="Times New Roman" w:hAnsi="Times New Roman" w:cs="Times New Roman"/>
          <w:sz w:val="24"/>
          <w:szCs w:val="24"/>
        </w:rPr>
        <w:t xml:space="preserve"> балл</w:t>
      </w:r>
      <w:r w:rsidR="00EC40D4" w:rsidRPr="00AB7E23">
        <w:rPr>
          <w:rFonts w:ascii="Times New Roman" w:hAnsi="Times New Roman" w:cs="Times New Roman"/>
          <w:sz w:val="24"/>
          <w:szCs w:val="24"/>
        </w:rPr>
        <w:t>.</w:t>
      </w:r>
      <w:r w:rsidR="00CC50A1" w:rsidRPr="00AB7E23">
        <w:rPr>
          <w:rFonts w:ascii="Times New Roman" w:hAnsi="Times New Roman" w:cs="Times New Roman"/>
          <w:sz w:val="24"/>
          <w:szCs w:val="24"/>
        </w:rPr>
        <w:t xml:space="preserve"> У Департамента труда и занятости населения Ханты-Мансийского автономного </w:t>
      </w:r>
      <w:r w:rsidR="00CC50A1" w:rsidRPr="00AB7E23">
        <w:rPr>
          <w:rFonts w:ascii="Times New Roman" w:hAnsi="Times New Roman" w:cs="Times New Roman"/>
          <w:sz w:val="24"/>
          <w:szCs w:val="24"/>
        </w:rPr>
        <w:lastRenderedPageBreak/>
        <w:t>округа – Югры доля фактически проведённых контрольных мероприятий составила менее 70</w:t>
      </w:r>
      <w:r w:rsidR="00B1687C" w:rsidRPr="00AB7E23">
        <w:rPr>
          <w:rFonts w:ascii="Times New Roman" w:hAnsi="Times New Roman" w:cs="Times New Roman"/>
          <w:sz w:val="24"/>
          <w:szCs w:val="24"/>
        </w:rPr>
        <w:t xml:space="preserve"> </w:t>
      </w:r>
      <w:r w:rsidR="00CC50A1" w:rsidRPr="00AB7E23">
        <w:rPr>
          <w:rFonts w:ascii="Times New Roman" w:hAnsi="Times New Roman" w:cs="Times New Roman"/>
          <w:sz w:val="24"/>
          <w:szCs w:val="24"/>
        </w:rPr>
        <w:t>%, в связи с чем он получил минимальную оценку – 0 баллов.</w:t>
      </w:r>
      <w:r w:rsidR="00773128" w:rsidRPr="00AB7E23">
        <w:rPr>
          <w:rFonts w:ascii="Times New Roman" w:hAnsi="Times New Roman" w:cs="Times New Roman"/>
          <w:sz w:val="24"/>
          <w:szCs w:val="24"/>
        </w:rPr>
        <w:t xml:space="preserve"> </w:t>
      </w:r>
      <w:r w:rsidR="00CC50A1" w:rsidRPr="00AB7E23">
        <w:rPr>
          <w:rFonts w:ascii="Times New Roman" w:hAnsi="Times New Roman" w:cs="Times New Roman"/>
          <w:sz w:val="24"/>
          <w:szCs w:val="24"/>
        </w:rPr>
        <w:t>Департаментом культуры Ханты-Мансийского автономного округа – Югры были запланированы, но не проведены контрольный мероприятия в подведомственных государственных учреждениях, в связи с чем данный ГРБС получил минимальную оценку – 0 баллов.</w:t>
      </w:r>
    </w:p>
    <w:p w:rsidR="00EC40D4" w:rsidRDefault="001C38F7" w:rsidP="00257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B1C52">
        <w:rPr>
          <w:rFonts w:ascii="Times New Roman" w:hAnsi="Times New Roman" w:cs="Times New Roman"/>
          <w:sz w:val="24"/>
          <w:szCs w:val="24"/>
        </w:rPr>
        <w:t xml:space="preserve"> ГРБС</w:t>
      </w:r>
      <w:r w:rsidR="003634FB">
        <w:rPr>
          <w:rFonts w:ascii="Times New Roman" w:hAnsi="Times New Roman" w:cs="Times New Roman"/>
          <w:sz w:val="24"/>
          <w:szCs w:val="24"/>
        </w:rPr>
        <w:t>, имеющие</w:t>
      </w:r>
      <w:r w:rsidR="00FF7E74">
        <w:rPr>
          <w:rFonts w:ascii="Times New Roman" w:hAnsi="Times New Roman" w:cs="Times New Roman"/>
          <w:sz w:val="24"/>
          <w:szCs w:val="24"/>
        </w:rPr>
        <w:t xml:space="preserve"> в функциональном подчинении государственные учреждения, </w:t>
      </w:r>
      <w:r w:rsidR="002B1C52">
        <w:rPr>
          <w:rFonts w:ascii="Times New Roman" w:hAnsi="Times New Roman" w:cs="Times New Roman"/>
          <w:sz w:val="24"/>
          <w:szCs w:val="24"/>
        </w:rPr>
        <w:t>не</w:t>
      </w:r>
      <w:r w:rsidR="003634FB">
        <w:rPr>
          <w:rFonts w:ascii="Times New Roman" w:hAnsi="Times New Roman" w:cs="Times New Roman"/>
          <w:sz w:val="24"/>
          <w:szCs w:val="24"/>
        </w:rPr>
        <w:t xml:space="preserve"> запланировали</w:t>
      </w:r>
      <w:r w:rsidR="002B1C52">
        <w:rPr>
          <w:rFonts w:ascii="Times New Roman" w:hAnsi="Times New Roman" w:cs="Times New Roman"/>
          <w:sz w:val="24"/>
          <w:szCs w:val="24"/>
        </w:rPr>
        <w:t xml:space="preserve"> контрольных мероприятий </w:t>
      </w:r>
      <w:r w:rsidR="001576FC">
        <w:rPr>
          <w:rFonts w:ascii="Times New Roman" w:hAnsi="Times New Roman" w:cs="Times New Roman"/>
          <w:sz w:val="24"/>
          <w:szCs w:val="24"/>
        </w:rPr>
        <w:t>на период 2020</w:t>
      </w:r>
      <w:r w:rsidR="003634FB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, и 1 ГРБС – </w:t>
      </w:r>
      <w:r w:rsidRPr="001C38F7">
        <w:rPr>
          <w:rFonts w:ascii="Times New Roman" w:hAnsi="Times New Roman" w:cs="Times New Roman"/>
          <w:sz w:val="24"/>
          <w:szCs w:val="24"/>
        </w:rPr>
        <w:t>Департамент культуры Ханты-Мансийского 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 xml:space="preserve"> запланировал 7 мероприятий, но не провел их</w:t>
      </w:r>
      <w:r w:rsidR="002B1C52">
        <w:rPr>
          <w:rFonts w:ascii="Times New Roman" w:hAnsi="Times New Roman" w:cs="Times New Roman"/>
          <w:sz w:val="24"/>
          <w:szCs w:val="24"/>
        </w:rPr>
        <w:t>,</w:t>
      </w:r>
      <w:r w:rsidR="006F0B7A">
        <w:rPr>
          <w:rFonts w:ascii="Times New Roman" w:hAnsi="Times New Roman" w:cs="Times New Roman"/>
          <w:sz w:val="24"/>
          <w:szCs w:val="24"/>
        </w:rPr>
        <w:t xml:space="preserve"> в</w:t>
      </w:r>
      <w:r w:rsidR="002B1C52">
        <w:rPr>
          <w:rFonts w:ascii="Times New Roman" w:hAnsi="Times New Roman" w:cs="Times New Roman"/>
          <w:sz w:val="24"/>
          <w:szCs w:val="24"/>
        </w:rPr>
        <w:t>следствие чего</w:t>
      </w:r>
      <w:r w:rsidR="00FF7E74">
        <w:rPr>
          <w:rFonts w:ascii="Times New Roman" w:hAnsi="Times New Roman" w:cs="Times New Roman"/>
          <w:sz w:val="24"/>
          <w:szCs w:val="24"/>
        </w:rPr>
        <w:t xml:space="preserve"> данным ГРБС</w:t>
      </w:r>
      <w:r w:rsidR="002B1C52">
        <w:rPr>
          <w:rFonts w:ascii="Times New Roman" w:hAnsi="Times New Roman" w:cs="Times New Roman"/>
          <w:sz w:val="24"/>
          <w:szCs w:val="24"/>
        </w:rPr>
        <w:t xml:space="preserve"> </w:t>
      </w:r>
      <w:r w:rsidR="00FF7E74" w:rsidRPr="00EC40D4">
        <w:rPr>
          <w:rFonts w:ascii="Times New Roman" w:hAnsi="Times New Roman" w:cs="Times New Roman"/>
          <w:sz w:val="24"/>
          <w:szCs w:val="24"/>
        </w:rPr>
        <w:t xml:space="preserve">присвоена </w:t>
      </w:r>
      <w:r w:rsidR="00FF7E74">
        <w:rPr>
          <w:rFonts w:ascii="Times New Roman" w:hAnsi="Times New Roman" w:cs="Times New Roman"/>
          <w:sz w:val="24"/>
          <w:szCs w:val="24"/>
        </w:rPr>
        <w:t xml:space="preserve">минимальная оценка – </w:t>
      </w:r>
      <w:r w:rsidR="002B1C52">
        <w:rPr>
          <w:rFonts w:ascii="Times New Roman" w:hAnsi="Times New Roman" w:cs="Times New Roman"/>
          <w:sz w:val="24"/>
          <w:szCs w:val="24"/>
        </w:rPr>
        <w:t>0 баллов:</w:t>
      </w:r>
    </w:p>
    <w:p w:rsidR="00617F37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Служба государственной охраны объектов культурного наследия Ханты-Мансийского автономного округа – Югры</w:t>
      </w:r>
      <w:r>
        <w:t>;</w:t>
      </w:r>
    </w:p>
    <w:p w:rsidR="00617F37" w:rsidRDefault="00617F37" w:rsidP="001C38F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экономического развития Ханты-Мансийского автономного округа – Югры</w:t>
      </w:r>
      <w:r>
        <w:t>;</w:t>
      </w:r>
    </w:p>
    <w:p w:rsidR="00773CB3" w:rsidRDefault="00617F37" w:rsidP="00773CB3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государственной гражданской службы и кадровой политики Ханты-Мансийского автономного округа – Югры</w:t>
      </w:r>
      <w:r w:rsidR="00773CB3">
        <w:t>;</w:t>
      </w:r>
    </w:p>
    <w:p w:rsidR="00617F37" w:rsidRDefault="00773CB3" w:rsidP="0055741C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773CB3">
        <w:t xml:space="preserve"> </w:t>
      </w:r>
      <w:r>
        <w:t xml:space="preserve">Департамент культуры </w:t>
      </w:r>
      <w:r w:rsidRPr="00617F37">
        <w:t>Ханты-Мансийского автономного округа – Югры</w:t>
      </w:r>
      <w:r>
        <w:t>.</w:t>
      </w:r>
    </w:p>
    <w:p w:rsidR="00C54DA1" w:rsidRPr="00380429" w:rsidRDefault="00193D71" w:rsidP="0038042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Следующим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показателем в оценке качества контроля и аудита является доля выявленных нарушений в фи</w:t>
      </w:r>
      <w:r w:rsidR="007433BF">
        <w:rPr>
          <w:rFonts w:ascii="Times New Roman" w:hAnsi="Times New Roman" w:cs="Times New Roman"/>
          <w:sz w:val="24"/>
          <w:szCs w:val="24"/>
        </w:rPr>
        <w:t>нансово-бюджетной сфере. Служба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контроля Ханты-Мансийского автономного округа – Югры </w:t>
      </w:r>
      <w:r w:rsidR="007433BF">
        <w:rPr>
          <w:rFonts w:ascii="Times New Roman" w:hAnsi="Times New Roman" w:cs="Times New Roman"/>
          <w:sz w:val="24"/>
          <w:szCs w:val="24"/>
        </w:rPr>
        <w:t>выявила факты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бюджетных правонарушений (за исключением ненадлежащего ведения бюджетного учета, составления и представления бюджетной отчетности) при проведении проверок (ревизий) исполнения ГРБС и </w:t>
      </w:r>
      <w:r w:rsidR="002C39AD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="00EC40D4" w:rsidRPr="00EC40D4">
        <w:rPr>
          <w:rFonts w:ascii="Times New Roman" w:hAnsi="Times New Roman" w:cs="Times New Roman"/>
          <w:sz w:val="24"/>
          <w:szCs w:val="24"/>
        </w:rPr>
        <w:t>, а также бюджет</w:t>
      </w:r>
      <w:r w:rsidR="00222A34">
        <w:rPr>
          <w:rFonts w:ascii="Times New Roman" w:hAnsi="Times New Roman" w:cs="Times New Roman"/>
          <w:sz w:val="24"/>
          <w:szCs w:val="24"/>
        </w:rPr>
        <w:t>ными и автономными учреждениями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расходов </w:t>
      </w:r>
      <w:r w:rsidR="00EC40D4" w:rsidRPr="001E0906">
        <w:rPr>
          <w:rFonts w:ascii="Times New Roman" w:hAnsi="Times New Roman" w:cs="Times New Roman"/>
          <w:sz w:val="24"/>
          <w:szCs w:val="24"/>
        </w:rPr>
        <w:t>бюджета автономного округа в отчетном финансовом году</w:t>
      </w:r>
      <w:r w:rsidR="00617F37">
        <w:rPr>
          <w:rFonts w:ascii="Times New Roman" w:hAnsi="Times New Roman" w:cs="Times New Roman"/>
          <w:sz w:val="24"/>
          <w:szCs w:val="24"/>
        </w:rPr>
        <w:t xml:space="preserve"> у </w:t>
      </w:r>
      <w:r w:rsidR="0069270E" w:rsidRPr="0069270E">
        <w:rPr>
          <w:rFonts w:ascii="Times New Roman" w:hAnsi="Times New Roman" w:cs="Times New Roman"/>
          <w:sz w:val="24"/>
          <w:szCs w:val="24"/>
        </w:rPr>
        <w:t>Департамент</w:t>
      </w:r>
      <w:r w:rsidR="0069270E">
        <w:rPr>
          <w:rFonts w:ascii="Times New Roman" w:hAnsi="Times New Roman" w:cs="Times New Roman"/>
          <w:sz w:val="24"/>
          <w:szCs w:val="24"/>
        </w:rPr>
        <w:t>а</w:t>
      </w:r>
      <w:r w:rsidR="0069270E" w:rsidRPr="0069270E">
        <w:rPr>
          <w:rFonts w:ascii="Times New Roman" w:hAnsi="Times New Roman" w:cs="Times New Roman"/>
          <w:sz w:val="24"/>
          <w:szCs w:val="24"/>
        </w:rPr>
        <w:t xml:space="preserve"> здравоохранения Ханты-Мансийского автономного округа – Югры</w:t>
      </w:r>
      <w:r w:rsidR="0013092A">
        <w:rPr>
          <w:rFonts w:ascii="Times New Roman" w:hAnsi="Times New Roman" w:cs="Times New Roman"/>
          <w:sz w:val="24"/>
          <w:szCs w:val="24"/>
        </w:rPr>
        <w:t xml:space="preserve"> и </w:t>
      </w:r>
      <w:r w:rsidR="0013092A" w:rsidRPr="0013092A">
        <w:rPr>
          <w:rFonts w:ascii="Times New Roman" w:hAnsi="Times New Roman" w:cs="Times New Roman"/>
          <w:sz w:val="24"/>
          <w:szCs w:val="24"/>
        </w:rPr>
        <w:t>Департамент</w:t>
      </w:r>
      <w:r w:rsidR="00BF5C8C">
        <w:rPr>
          <w:rFonts w:ascii="Times New Roman" w:hAnsi="Times New Roman" w:cs="Times New Roman"/>
          <w:sz w:val="24"/>
          <w:szCs w:val="24"/>
        </w:rPr>
        <w:t>а</w:t>
      </w:r>
      <w:r w:rsidR="0013092A" w:rsidRPr="0013092A">
        <w:rPr>
          <w:rFonts w:ascii="Times New Roman" w:hAnsi="Times New Roman" w:cs="Times New Roman"/>
          <w:sz w:val="24"/>
          <w:szCs w:val="24"/>
        </w:rPr>
        <w:t xml:space="preserve"> промышленности Ханты-Мансийского автономного округа – Югры</w:t>
      </w:r>
      <w:r w:rsidR="00C40C0B">
        <w:rPr>
          <w:rFonts w:ascii="Times New Roman" w:hAnsi="Times New Roman" w:cs="Times New Roman"/>
          <w:sz w:val="24"/>
          <w:szCs w:val="24"/>
        </w:rPr>
        <w:t>.</w:t>
      </w:r>
      <w:r w:rsidR="0069270E">
        <w:rPr>
          <w:rFonts w:ascii="Times New Roman" w:hAnsi="Times New Roman" w:cs="Times New Roman"/>
          <w:sz w:val="24"/>
          <w:szCs w:val="24"/>
        </w:rPr>
        <w:t xml:space="preserve"> При этом </w:t>
      </w:r>
      <w:r w:rsidR="00DE634A" w:rsidRPr="00E97573">
        <w:rPr>
          <w:rFonts w:ascii="Times New Roman" w:hAnsi="Times New Roman" w:cs="Times New Roman"/>
          <w:sz w:val="24"/>
          <w:szCs w:val="24"/>
        </w:rPr>
        <w:t>доля бюджетных правонарушений в кассовом исполнении расходов</w:t>
      </w:r>
      <w:r w:rsidR="0013092A">
        <w:rPr>
          <w:rFonts w:ascii="Times New Roman" w:hAnsi="Times New Roman" w:cs="Times New Roman"/>
          <w:sz w:val="24"/>
          <w:szCs w:val="24"/>
        </w:rPr>
        <w:t xml:space="preserve"> данных</w:t>
      </w:r>
      <w:r w:rsidR="00DE634A" w:rsidRPr="00E97573">
        <w:rPr>
          <w:rFonts w:ascii="Times New Roman" w:hAnsi="Times New Roman" w:cs="Times New Roman"/>
          <w:sz w:val="24"/>
          <w:szCs w:val="24"/>
        </w:rPr>
        <w:t xml:space="preserve"> ГРБС в отчетном финансовом году не</w:t>
      </w:r>
      <w:r w:rsidR="00617F37">
        <w:rPr>
          <w:rFonts w:ascii="Times New Roman" w:hAnsi="Times New Roman" w:cs="Times New Roman"/>
          <w:sz w:val="24"/>
          <w:szCs w:val="24"/>
        </w:rPr>
        <w:t xml:space="preserve"> превысила 5 %, в связи с чем</w:t>
      </w:r>
      <w:r w:rsidR="00D60226">
        <w:rPr>
          <w:rFonts w:ascii="Times New Roman" w:hAnsi="Times New Roman" w:cs="Times New Roman"/>
          <w:sz w:val="24"/>
          <w:szCs w:val="24"/>
        </w:rPr>
        <w:t xml:space="preserve"> им</w:t>
      </w:r>
      <w:r w:rsidR="00617F37">
        <w:rPr>
          <w:rFonts w:ascii="Times New Roman" w:hAnsi="Times New Roman" w:cs="Times New Roman"/>
          <w:sz w:val="24"/>
          <w:szCs w:val="24"/>
        </w:rPr>
        <w:t xml:space="preserve"> была присвоена</w:t>
      </w:r>
      <w:r w:rsidR="00DE634A" w:rsidRPr="00E97573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617F37">
        <w:rPr>
          <w:rFonts w:ascii="Times New Roman" w:hAnsi="Times New Roman" w:cs="Times New Roman"/>
          <w:sz w:val="24"/>
          <w:szCs w:val="24"/>
        </w:rPr>
        <w:t>а</w:t>
      </w:r>
      <w:r w:rsidR="00D60226">
        <w:rPr>
          <w:rFonts w:ascii="Times New Roman" w:hAnsi="Times New Roman" w:cs="Times New Roman"/>
          <w:sz w:val="24"/>
          <w:szCs w:val="24"/>
        </w:rPr>
        <w:t xml:space="preserve"> 0,99</w:t>
      </w:r>
      <w:r w:rsidR="00DE634A" w:rsidRPr="00E97573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EC40D4" w:rsidRPr="00EC40D4" w:rsidRDefault="00D60226" w:rsidP="00E96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Остальные 35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ГРБС </w:t>
      </w:r>
      <w:r>
        <w:rPr>
          <w:rFonts w:ascii="Times New Roman" w:hAnsi="Times New Roman" w:cs="Times New Roman"/>
          <w:sz w:val="24"/>
          <w:szCs w:val="24"/>
        </w:rPr>
        <w:t>(94,6</w:t>
      </w:r>
      <w:r w:rsidR="00BA7AFC">
        <w:rPr>
          <w:rFonts w:ascii="Times New Roman" w:hAnsi="Times New Roman" w:cs="Times New Roman"/>
          <w:sz w:val="24"/>
          <w:szCs w:val="24"/>
        </w:rPr>
        <w:t xml:space="preserve"> % от оцениваемого </w:t>
      </w:r>
      <w:r w:rsidR="00D31789">
        <w:rPr>
          <w:rFonts w:ascii="Times New Roman" w:hAnsi="Times New Roman" w:cs="Times New Roman"/>
          <w:sz w:val="24"/>
          <w:szCs w:val="24"/>
        </w:rPr>
        <w:t xml:space="preserve">их </w:t>
      </w:r>
      <w:r w:rsidR="00BA7AFC">
        <w:rPr>
          <w:rFonts w:ascii="Times New Roman" w:hAnsi="Times New Roman" w:cs="Times New Roman"/>
          <w:sz w:val="24"/>
          <w:szCs w:val="24"/>
        </w:rPr>
        <w:t xml:space="preserve">количества) </w:t>
      </w:r>
      <w:r w:rsidR="00EC40D4" w:rsidRPr="00EC40D4">
        <w:rPr>
          <w:rFonts w:ascii="Times New Roman" w:hAnsi="Times New Roman" w:cs="Times New Roman"/>
          <w:sz w:val="24"/>
          <w:szCs w:val="24"/>
        </w:rPr>
        <w:t>получили высшую оценку – 1</w:t>
      </w:r>
      <w:r w:rsidR="00D31789">
        <w:rPr>
          <w:rFonts w:ascii="Times New Roman" w:hAnsi="Times New Roman" w:cs="Times New Roman"/>
          <w:sz w:val="24"/>
          <w:szCs w:val="24"/>
        </w:rPr>
        <w:t xml:space="preserve"> балл</w:t>
      </w:r>
      <w:r w:rsidR="00EC40D4" w:rsidRPr="00EC40D4">
        <w:rPr>
          <w:rFonts w:ascii="Times New Roman" w:hAnsi="Times New Roman" w:cs="Times New Roman"/>
          <w:sz w:val="24"/>
          <w:szCs w:val="24"/>
        </w:rPr>
        <w:t>.</w:t>
      </w:r>
    </w:p>
    <w:p w:rsidR="00B1687C" w:rsidRDefault="00EC40D4" w:rsidP="00B168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0D4">
        <w:rPr>
          <w:rFonts w:ascii="Times New Roman" w:hAnsi="Times New Roman" w:cs="Times New Roman"/>
          <w:sz w:val="24"/>
          <w:szCs w:val="24"/>
        </w:rPr>
        <w:t>Следующим показателем</w:t>
      </w:r>
      <w:r w:rsidR="00D31789">
        <w:rPr>
          <w:rFonts w:ascii="Times New Roman" w:hAnsi="Times New Roman" w:cs="Times New Roman"/>
          <w:sz w:val="24"/>
          <w:szCs w:val="24"/>
        </w:rPr>
        <w:t>, участвующим</w:t>
      </w:r>
      <w:r w:rsidRPr="00EC40D4">
        <w:rPr>
          <w:rFonts w:ascii="Times New Roman" w:hAnsi="Times New Roman" w:cs="Times New Roman"/>
          <w:sz w:val="24"/>
          <w:szCs w:val="24"/>
        </w:rPr>
        <w:t xml:space="preserve"> в оценке качества контроля и аудита является доля недостач и хищений денежных средств и материальных ценност</w:t>
      </w:r>
      <w:r w:rsidR="00BA7AFC">
        <w:rPr>
          <w:rFonts w:ascii="Times New Roman" w:hAnsi="Times New Roman" w:cs="Times New Roman"/>
          <w:sz w:val="24"/>
          <w:szCs w:val="24"/>
        </w:rPr>
        <w:t xml:space="preserve">ей. </w:t>
      </w:r>
      <w:r w:rsidR="00B1687C">
        <w:rPr>
          <w:rFonts w:ascii="Times New Roman" w:hAnsi="Times New Roman" w:cs="Times New Roman"/>
          <w:sz w:val="24"/>
          <w:szCs w:val="24"/>
        </w:rPr>
        <w:t>У 29 из 34 ГРБС, или у 85,3 </w:t>
      </w:r>
      <w:r w:rsidR="00B1687C" w:rsidRPr="00EC40D4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B1687C">
        <w:rPr>
          <w:rFonts w:ascii="Times New Roman" w:hAnsi="Times New Roman" w:cs="Times New Roman"/>
          <w:sz w:val="24"/>
          <w:szCs w:val="24"/>
        </w:rPr>
        <w:t xml:space="preserve">их </w:t>
      </w:r>
      <w:r w:rsidR="00B1687C" w:rsidRPr="00EC40D4">
        <w:rPr>
          <w:rFonts w:ascii="Times New Roman" w:hAnsi="Times New Roman" w:cs="Times New Roman"/>
          <w:sz w:val="24"/>
          <w:szCs w:val="24"/>
        </w:rPr>
        <w:t xml:space="preserve">количества, недостач и хищений не выявлено, им </w:t>
      </w:r>
      <w:r w:rsidR="00B1687C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="00B1687C" w:rsidRPr="00EC40D4">
        <w:rPr>
          <w:rFonts w:ascii="Times New Roman" w:hAnsi="Times New Roman" w:cs="Times New Roman"/>
          <w:sz w:val="24"/>
          <w:szCs w:val="24"/>
        </w:rPr>
        <w:t>присвоена</w:t>
      </w:r>
      <w:r w:rsidR="00B1687C">
        <w:rPr>
          <w:rFonts w:ascii="Times New Roman" w:hAnsi="Times New Roman" w:cs="Times New Roman"/>
          <w:sz w:val="24"/>
          <w:szCs w:val="24"/>
        </w:rPr>
        <w:t xml:space="preserve"> наивысшая</w:t>
      </w:r>
      <w:r w:rsidR="00B1687C" w:rsidRPr="00EC40D4">
        <w:rPr>
          <w:rFonts w:ascii="Times New Roman" w:hAnsi="Times New Roman" w:cs="Times New Roman"/>
          <w:sz w:val="24"/>
          <w:szCs w:val="24"/>
        </w:rPr>
        <w:t xml:space="preserve"> оценка 1</w:t>
      </w:r>
      <w:r w:rsidR="00B1687C">
        <w:rPr>
          <w:rFonts w:ascii="Times New Roman" w:hAnsi="Times New Roman" w:cs="Times New Roman"/>
          <w:sz w:val="24"/>
          <w:szCs w:val="24"/>
        </w:rPr>
        <w:t xml:space="preserve"> балл</w:t>
      </w:r>
      <w:r w:rsidR="00B1687C" w:rsidRPr="00EC40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687C" w:rsidRDefault="00B1687C" w:rsidP="00B168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оставшихся 5 ГРБС (14,7 </w:t>
      </w:r>
      <w:r w:rsidRPr="00EC40D4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EC40D4">
        <w:rPr>
          <w:rFonts w:ascii="Times New Roman" w:hAnsi="Times New Roman" w:cs="Times New Roman"/>
          <w:sz w:val="24"/>
          <w:szCs w:val="24"/>
        </w:rPr>
        <w:t xml:space="preserve">количества) выявлены случаи недостач и хищений денежных средств и материальных ценностей, что негативно отразилось на их оценке. Минимальную оценку – 0 </w:t>
      </w:r>
      <w:r>
        <w:rPr>
          <w:rFonts w:ascii="Times New Roman" w:hAnsi="Times New Roman" w:cs="Times New Roman"/>
          <w:sz w:val="24"/>
          <w:szCs w:val="24"/>
        </w:rPr>
        <w:t>баллов получили 2</w:t>
      </w:r>
      <w:r w:rsidRPr="00EC40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ГРБС</w:t>
      </w:r>
      <w:r w:rsidRPr="00EC40D4">
        <w:rPr>
          <w:rFonts w:ascii="Times New Roman" w:hAnsi="Times New Roman" w:cs="Times New Roman"/>
          <w:sz w:val="24"/>
          <w:szCs w:val="24"/>
        </w:rPr>
        <w:t xml:space="preserve"> с долей остатка </w:t>
      </w:r>
      <w:r w:rsidRPr="00EC40D4">
        <w:rPr>
          <w:rFonts w:ascii="Times New Roman" w:hAnsi="Times New Roman" w:cs="Times New Roman"/>
          <w:sz w:val="24"/>
          <w:szCs w:val="24"/>
        </w:rPr>
        <w:lastRenderedPageBreak/>
        <w:t>установленных недостач и хищений свыше 0,5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C40D4">
        <w:rPr>
          <w:rFonts w:ascii="Times New Roman" w:hAnsi="Times New Roman" w:cs="Times New Roman"/>
          <w:sz w:val="24"/>
          <w:szCs w:val="24"/>
        </w:rPr>
        <w:t>% от объема основных средств и ма</w:t>
      </w:r>
      <w:r w:rsidR="003E613C">
        <w:rPr>
          <w:rFonts w:ascii="Times New Roman" w:hAnsi="Times New Roman" w:cs="Times New Roman"/>
          <w:sz w:val="24"/>
          <w:szCs w:val="24"/>
        </w:rPr>
        <w:t>териальных запасов на 01.01.2020</w:t>
      </w:r>
      <w:r w:rsidRPr="00EC40D4">
        <w:rPr>
          <w:rFonts w:ascii="Times New Roman" w:hAnsi="Times New Roman" w:cs="Times New Roman"/>
          <w:sz w:val="24"/>
          <w:szCs w:val="24"/>
        </w:rPr>
        <w:t xml:space="preserve"> года: </w:t>
      </w:r>
    </w:p>
    <w:p w:rsidR="00B1687C" w:rsidRPr="00137725" w:rsidRDefault="00B1687C" w:rsidP="00B1687C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137725">
        <w:t>Департамент строительства Ханты-Мансийского автономного округа – Югр</w:t>
      </w:r>
      <w:r>
        <w:t>ы</w:t>
      </w:r>
      <w:r w:rsidR="003E613C">
        <w:t xml:space="preserve">        </w:t>
      </w:r>
      <w:r>
        <w:t xml:space="preserve"> </w:t>
      </w:r>
      <w:r w:rsidR="006219D5">
        <w:t>(с долей недостач и хищений 4</w:t>
      </w:r>
      <w:r w:rsidRPr="00137725">
        <w:t> %);</w:t>
      </w:r>
    </w:p>
    <w:p w:rsidR="00B1687C" w:rsidRPr="00137725" w:rsidRDefault="00B1687C" w:rsidP="00B1687C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137725">
        <w:t>Департамент физической культуры и спорта Ханты-Мансийского автономного округа – Югр</w:t>
      </w:r>
      <w:r w:rsidR="003E613C">
        <w:t>ы</w:t>
      </w:r>
      <w:r w:rsidR="006219D5">
        <w:t xml:space="preserve"> (с долей недостач и хищений 2</w:t>
      </w:r>
      <w:r w:rsidRPr="00137725">
        <w:t> %).</w:t>
      </w:r>
    </w:p>
    <w:p w:rsidR="00BB60AD" w:rsidRPr="00BB60AD" w:rsidRDefault="00A82E1D" w:rsidP="00BB6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Следующим</w:t>
      </w:r>
      <w:r w:rsidR="00BB60AD" w:rsidRPr="000C255A">
        <w:rPr>
          <w:rFonts w:ascii="Times New Roman" w:hAnsi="Times New Roman" w:cs="Times New Roman"/>
          <w:sz w:val="24"/>
          <w:szCs w:val="24"/>
        </w:rPr>
        <w:t xml:space="preserve"> </w:t>
      </w:r>
      <w:r w:rsidR="00D31789">
        <w:rPr>
          <w:rFonts w:ascii="Times New Roman" w:hAnsi="Times New Roman" w:cs="Times New Roman"/>
          <w:sz w:val="24"/>
          <w:szCs w:val="24"/>
        </w:rPr>
        <w:t xml:space="preserve">показателем </w:t>
      </w:r>
      <w:r w:rsidR="00BB60AD" w:rsidRPr="000C255A">
        <w:rPr>
          <w:rFonts w:ascii="Times New Roman" w:hAnsi="Times New Roman" w:cs="Times New Roman"/>
          <w:sz w:val="24"/>
          <w:szCs w:val="24"/>
        </w:rPr>
        <w:t>в оценке качества контроля и аудита является показатель «Удельный вес государственных учреждений, выполнивших государственное задание, в общем количестве государственных учреждений, которым установлены государственные задания».</w:t>
      </w:r>
    </w:p>
    <w:p w:rsidR="00BB60AD" w:rsidRPr="00BB60AD" w:rsidRDefault="003E613C" w:rsidP="00BB6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17</w:t>
      </w:r>
      <w:r w:rsidR="00BB60AD" w:rsidRPr="00BB60AD">
        <w:rPr>
          <w:rFonts w:ascii="Times New Roman" w:hAnsi="Times New Roman" w:cs="Times New Roman"/>
          <w:sz w:val="24"/>
          <w:szCs w:val="24"/>
        </w:rPr>
        <w:t xml:space="preserve"> ГРБС, установивших государст</w:t>
      </w:r>
      <w:r w:rsidR="008C2E74">
        <w:rPr>
          <w:rFonts w:ascii="Times New Roman" w:hAnsi="Times New Roman" w:cs="Times New Roman"/>
          <w:sz w:val="24"/>
          <w:szCs w:val="24"/>
        </w:rPr>
        <w:t>венные задания учреждениям, у 16 (94,1</w:t>
      </w:r>
      <w:r w:rsidR="000C255A">
        <w:rPr>
          <w:rFonts w:ascii="Times New Roman" w:hAnsi="Times New Roman" w:cs="Times New Roman"/>
          <w:sz w:val="24"/>
          <w:szCs w:val="24"/>
        </w:rPr>
        <w:t> </w:t>
      </w:r>
      <w:r w:rsidR="00BB60AD" w:rsidRPr="00BB60AD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D31789">
        <w:rPr>
          <w:rFonts w:ascii="Times New Roman" w:hAnsi="Times New Roman" w:cs="Times New Roman"/>
          <w:sz w:val="24"/>
          <w:szCs w:val="24"/>
        </w:rPr>
        <w:t xml:space="preserve">их </w:t>
      </w:r>
      <w:r w:rsidR="00BB60AD" w:rsidRPr="00BB60AD">
        <w:rPr>
          <w:rFonts w:ascii="Times New Roman" w:hAnsi="Times New Roman" w:cs="Times New Roman"/>
          <w:sz w:val="24"/>
          <w:szCs w:val="24"/>
        </w:rPr>
        <w:t xml:space="preserve">количества) </w:t>
      </w:r>
      <w:r w:rsidR="00D31789">
        <w:rPr>
          <w:rFonts w:ascii="Times New Roman" w:hAnsi="Times New Roman" w:cs="Times New Roman"/>
          <w:sz w:val="24"/>
          <w:szCs w:val="24"/>
        </w:rPr>
        <w:t xml:space="preserve">все </w:t>
      </w:r>
      <w:r w:rsidR="00BB60AD" w:rsidRPr="00BB60AD">
        <w:rPr>
          <w:rFonts w:ascii="Times New Roman" w:hAnsi="Times New Roman" w:cs="Times New Roman"/>
          <w:sz w:val="24"/>
          <w:szCs w:val="24"/>
        </w:rPr>
        <w:t>учреждения выполнили государственн</w:t>
      </w:r>
      <w:r w:rsidR="00AB2B5B">
        <w:rPr>
          <w:rFonts w:ascii="Times New Roman" w:hAnsi="Times New Roman" w:cs="Times New Roman"/>
          <w:sz w:val="24"/>
          <w:szCs w:val="24"/>
        </w:rPr>
        <w:t>ые</w:t>
      </w:r>
      <w:r w:rsidR="00BB60AD" w:rsidRPr="00BB60AD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AB2B5B">
        <w:rPr>
          <w:rFonts w:ascii="Times New Roman" w:hAnsi="Times New Roman" w:cs="Times New Roman"/>
          <w:sz w:val="24"/>
          <w:szCs w:val="24"/>
        </w:rPr>
        <w:t>я</w:t>
      </w:r>
      <w:r w:rsidR="00D31789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="00BB60AD" w:rsidRPr="00BB60AD">
        <w:rPr>
          <w:rFonts w:ascii="Times New Roman" w:hAnsi="Times New Roman" w:cs="Times New Roman"/>
          <w:sz w:val="24"/>
          <w:szCs w:val="24"/>
        </w:rPr>
        <w:t>, таким ГРБС присвоена максимальная оценка – 1</w:t>
      </w:r>
      <w:r w:rsidR="00D31789">
        <w:rPr>
          <w:rFonts w:ascii="Times New Roman" w:hAnsi="Times New Roman" w:cs="Times New Roman"/>
          <w:sz w:val="24"/>
          <w:szCs w:val="24"/>
        </w:rPr>
        <w:t xml:space="preserve"> балл</w:t>
      </w:r>
      <w:r w:rsidR="00BB60AD" w:rsidRPr="00BB60AD">
        <w:rPr>
          <w:rFonts w:ascii="Times New Roman" w:hAnsi="Times New Roman" w:cs="Times New Roman"/>
          <w:sz w:val="24"/>
          <w:szCs w:val="24"/>
        </w:rPr>
        <w:t>.</w:t>
      </w:r>
    </w:p>
    <w:p w:rsidR="00AB2B5B" w:rsidRDefault="00BB60AD" w:rsidP="00F839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0AD">
        <w:rPr>
          <w:rFonts w:ascii="Times New Roman" w:hAnsi="Times New Roman" w:cs="Times New Roman"/>
          <w:sz w:val="24"/>
          <w:szCs w:val="24"/>
        </w:rPr>
        <w:t>Минимал</w:t>
      </w:r>
      <w:r w:rsidR="00F83988">
        <w:rPr>
          <w:rFonts w:ascii="Times New Roman" w:hAnsi="Times New Roman" w:cs="Times New Roman"/>
          <w:sz w:val="24"/>
          <w:szCs w:val="24"/>
        </w:rPr>
        <w:t>ьную</w:t>
      </w:r>
      <w:r w:rsidR="00D31789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F83988">
        <w:rPr>
          <w:rFonts w:ascii="Times New Roman" w:hAnsi="Times New Roman" w:cs="Times New Roman"/>
          <w:sz w:val="24"/>
          <w:szCs w:val="24"/>
        </w:rPr>
        <w:t>у</w:t>
      </w:r>
      <w:r w:rsidR="00D31789">
        <w:rPr>
          <w:rFonts w:ascii="Times New Roman" w:hAnsi="Times New Roman" w:cs="Times New Roman"/>
          <w:sz w:val="24"/>
          <w:szCs w:val="24"/>
        </w:rPr>
        <w:t xml:space="preserve"> данного показателя – </w:t>
      </w:r>
      <w:r w:rsidRPr="00BB60AD">
        <w:rPr>
          <w:rFonts w:ascii="Times New Roman" w:hAnsi="Times New Roman" w:cs="Times New Roman"/>
          <w:sz w:val="24"/>
          <w:szCs w:val="24"/>
        </w:rPr>
        <w:t>0</w:t>
      </w:r>
      <w:r w:rsidR="00D31789">
        <w:rPr>
          <w:rFonts w:ascii="Times New Roman" w:hAnsi="Times New Roman" w:cs="Times New Roman"/>
          <w:sz w:val="24"/>
          <w:szCs w:val="24"/>
        </w:rPr>
        <w:t xml:space="preserve"> баллов </w:t>
      </w:r>
      <w:r w:rsidR="00F83988">
        <w:rPr>
          <w:rFonts w:ascii="Times New Roman" w:hAnsi="Times New Roman" w:cs="Times New Roman"/>
          <w:sz w:val="24"/>
          <w:szCs w:val="24"/>
        </w:rPr>
        <w:t xml:space="preserve">получил </w:t>
      </w:r>
      <w:r w:rsidR="00AB2B5B" w:rsidRPr="00AB1676">
        <w:rPr>
          <w:rFonts w:ascii="Times New Roman" w:hAnsi="Times New Roman" w:cs="Times New Roman"/>
          <w:sz w:val="24"/>
          <w:szCs w:val="24"/>
        </w:rPr>
        <w:t>Департамент здравоохранения Ханты-Мансий</w:t>
      </w:r>
      <w:r w:rsidR="00AB1676">
        <w:rPr>
          <w:rFonts w:ascii="Times New Roman" w:hAnsi="Times New Roman" w:cs="Times New Roman"/>
          <w:sz w:val="24"/>
          <w:szCs w:val="24"/>
        </w:rPr>
        <w:t>ского автономного округа – Югры в связи с тем, что менее 95 % подведомственных данному ГРБС государственных учреждений, выполнили установленное им государственное задание.</w:t>
      </w:r>
    </w:p>
    <w:p w:rsidR="008C0BA5" w:rsidRDefault="00114D29" w:rsidP="008C0B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6E6C">
        <w:rPr>
          <w:rFonts w:ascii="Times New Roman" w:hAnsi="Times New Roman"/>
          <w:sz w:val="24"/>
          <w:szCs w:val="24"/>
        </w:rPr>
        <w:t>При этом, п</w:t>
      </w:r>
      <w:r w:rsidR="008C0BA5" w:rsidRPr="00DA6E6C">
        <w:rPr>
          <w:rFonts w:ascii="Times New Roman" w:hAnsi="Times New Roman"/>
          <w:sz w:val="24"/>
          <w:szCs w:val="24"/>
        </w:rPr>
        <w:t>ри расчете показателя признаны выполненными государственные задания в государственных учреждениях, где была приостановлена (частично приостановлена) деятельность, в связи с профилактикой и устранением последствий распространения коронавирусной инфекции.</w:t>
      </w:r>
    </w:p>
    <w:p w:rsidR="000A7539" w:rsidRDefault="008C0BA5" w:rsidP="008C0B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5F04">
        <w:rPr>
          <w:rFonts w:ascii="Times New Roman" w:hAnsi="Times New Roman" w:cs="Times New Roman"/>
          <w:sz w:val="24"/>
          <w:szCs w:val="24"/>
        </w:rPr>
        <w:t>Среди</w:t>
      </w:r>
      <w:r w:rsidR="000A7539" w:rsidRPr="000A7539">
        <w:rPr>
          <w:rFonts w:ascii="Times New Roman" w:hAnsi="Times New Roman" w:cs="Times New Roman"/>
          <w:sz w:val="24"/>
          <w:szCs w:val="24"/>
        </w:rPr>
        <w:t xml:space="preserve"> </w:t>
      </w:r>
      <w:r w:rsidR="00193D71">
        <w:rPr>
          <w:rFonts w:ascii="Times New Roman" w:hAnsi="Times New Roman" w:cs="Times New Roman"/>
          <w:sz w:val="24"/>
          <w:szCs w:val="24"/>
        </w:rPr>
        <w:t>показателе</w:t>
      </w:r>
      <w:r w:rsidR="00F65F04">
        <w:rPr>
          <w:rFonts w:ascii="Times New Roman" w:hAnsi="Times New Roman" w:cs="Times New Roman"/>
          <w:sz w:val="24"/>
          <w:szCs w:val="24"/>
        </w:rPr>
        <w:t>й</w:t>
      </w:r>
      <w:r w:rsidR="00193D71">
        <w:rPr>
          <w:rFonts w:ascii="Times New Roman" w:hAnsi="Times New Roman" w:cs="Times New Roman"/>
          <w:sz w:val="24"/>
          <w:szCs w:val="24"/>
        </w:rPr>
        <w:t xml:space="preserve"> </w:t>
      </w:r>
      <w:r w:rsidR="00D31789">
        <w:rPr>
          <w:rFonts w:ascii="Times New Roman" w:hAnsi="Times New Roman" w:cs="Times New Roman"/>
          <w:sz w:val="24"/>
          <w:szCs w:val="24"/>
        </w:rPr>
        <w:t>в</w:t>
      </w:r>
      <w:r w:rsidR="00193D71">
        <w:rPr>
          <w:rFonts w:ascii="Times New Roman" w:hAnsi="Times New Roman" w:cs="Times New Roman"/>
          <w:sz w:val="24"/>
          <w:szCs w:val="24"/>
        </w:rPr>
        <w:t xml:space="preserve"> группе</w:t>
      </w:r>
      <w:r w:rsidR="000A7539" w:rsidRPr="000A7539">
        <w:rPr>
          <w:rFonts w:ascii="Times New Roman" w:hAnsi="Times New Roman" w:cs="Times New Roman"/>
          <w:sz w:val="24"/>
          <w:szCs w:val="24"/>
        </w:rPr>
        <w:t xml:space="preserve"> </w:t>
      </w:r>
      <w:r w:rsidR="00193D71">
        <w:rPr>
          <w:rFonts w:ascii="Times New Roman" w:hAnsi="Times New Roman" w:cs="Times New Roman"/>
          <w:sz w:val="24"/>
          <w:szCs w:val="24"/>
        </w:rPr>
        <w:t>«К</w:t>
      </w:r>
      <w:r w:rsidR="000A7539" w:rsidRPr="000A7539">
        <w:rPr>
          <w:rFonts w:ascii="Times New Roman" w:hAnsi="Times New Roman" w:cs="Times New Roman"/>
          <w:sz w:val="24"/>
          <w:szCs w:val="24"/>
        </w:rPr>
        <w:t>онтрол</w:t>
      </w:r>
      <w:r w:rsidR="00193D71">
        <w:rPr>
          <w:rFonts w:ascii="Times New Roman" w:hAnsi="Times New Roman" w:cs="Times New Roman"/>
          <w:sz w:val="24"/>
          <w:szCs w:val="24"/>
        </w:rPr>
        <w:t>ь</w:t>
      </w:r>
      <w:r w:rsidR="000A7539" w:rsidRPr="000A7539">
        <w:rPr>
          <w:rFonts w:ascii="Times New Roman" w:hAnsi="Times New Roman" w:cs="Times New Roman"/>
          <w:sz w:val="24"/>
          <w:szCs w:val="24"/>
        </w:rPr>
        <w:t xml:space="preserve"> и аудит</w:t>
      </w:r>
      <w:r w:rsidR="00193D71">
        <w:rPr>
          <w:rFonts w:ascii="Times New Roman" w:hAnsi="Times New Roman" w:cs="Times New Roman"/>
          <w:sz w:val="24"/>
          <w:szCs w:val="24"/>
        </w:rPr>
        <w:t>»</w:t>
      </w:r>
      <w:r w:rsidR="000A7539" w:rsidRPr="000A7539">
        <w:rPr>
          <w:rFonts w:ascii="Times New Roman" w:hAnsi="Times New Roman" w:cs="Times New Roman"/>
          <w:sz w:val="24"/>
          <w:szCs w:val="24"/>
        </w:rPr>
        <w:t xml:space="preserve"> </w:t>
      </w:r>
      <w:r w:rsidR="00F65F04">
        <w:rPr>
          <w:rFonts w:ascii="Times New Roman" w:hAnsi="Times New Roman" w:cs="Times New Roman"/>
          <w:sz w:val="24"/>
          <w:szCs w:val="24"/>
        </w:rPr>
        <w:t>оценивается также</w:t>
      </w:r>
      <w:r w:rsidR="000A7539" w:rsidRPr="000A7539">
        <w:rPr>
          <w:rFonts w:ascii="Times New Roman" w:hAnsi="Times New Roman" w:cs="Times New Roman"/>
          <w:sz w:val="24"/>
          <w:szCs w:val="24"/>
        </w:rPr>
        <w:t xml:space="preserve"> качеств</w:t>
      </w:r>
      <w:r w:rsidR="00193D71">
        <w:rPr>
          <w:rFonts w:ascii="Times New Roman" w:hAnsi="Times New Roman" w:cs="Times New Roman"/>
          <w:sz w:val="24"/>
          <w:szCs w:val="24"/>
        </w:rPr>
        <w:t>о</w:t>
      </w:r>
      <w:r w:rsidR="000A7539" w:rsidRPr="000A7539">
        <w:rPr>
          <w:rFonts w:ascii="Times New Roman" w:hAnsi="Times New Roman" w:cs="Times New Roman"/>
          <w:sz w:val="24"/>
          <w:szCs w:val="24"/>
        </w:rPr>
        <w:t xml:space="preserve"> организации в</w:t>
      </w:r>
      <w:r w:rsidR="00AB1676">
        <w:rPr>
          <w:rFonts w:ascii="Times New Roman" w:hAnsi="Times New Roman" w:cs="Times New Roman"/>
          <w:sz w:val="24"/>
          <w:szCs w:val="24"/>
        </w:rPr>
        <w:t>н</w:t>
      </w:r>
      <w:r w:rsidR="008C2E74">
        <w:rPr>
          <w:rFonts w:ascii="Times New Roman" w:hAnsi="Times New Roman" w:cs="Times New Roman"/>
          <w:sz w:val="24"/>
          <w:szCs w:val="24"/>
        </w:rPr>
        <w:t>утреннего финансового аудита. 15</w:t>
      </w:r>
      <w:r w:rsidR="000A7539" w:rsidRPr="000A7539">
        <w:rPr>
          <w:rFonts w:ascii="Times New Roman" w:hAnsi="Times New Roman" w:cs="Times New Roman"/>
          <w:sz w:val="24"/>
          <w:szCs w:val="24"/>
        </w:rPr>
        <w:t xml:space="preserve"> ГРБС (</w:t>
      </w:r>
      <w:r w:rsidR="008C2E74">
        <w:rPr>
          <w:rFonts w:ascii="Times New Roman" w:hAnsi="Times New Roman" w:cs="Times New Roman"/>
          <w:sz w:val="24"/>
          <w:szCs w:val="24"/>
        </w:rPr>
        <w:t>40,5</w:t>
      </w:r>
      <w:r w:rsidR="000A7539">
        <w:rPr>
          <w:rFonts w:ascii="Times New Roman" w:hAnsi="Times New Roman" w:cs="Times New Roman"/>
          <w:sz w:val="24"/>
          <w:szCs w:val="24"/>
        </w:rPr>
        <w:t> </w:t>
      </w:r>
      <w:r w:rsidR="000A7539" w:rsidRPr="000A7539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D31789">
        <w:rPr>
          <w:rFonts w:ascii="Times New Roman" w:hAnsi="Times New Roman" w:cs="Times New Roman"/>
          <w:sz w:val="24"/>
          <w:szCs w:val="24"/>
        </w:rPr>
        <w:t xml:space="preserve">их </w:t>
      </w:r>
      <w:r w:rsidR="000A7539" w:rsidRPr="000A7539">
        <w:rPr>
          <w:rFonts w:ascii="Times New Roman" w:hAnsi="Times New Roman" w:cs="Times New Roman"/>
          <w:sz w:val="24"/>
          <w:szCs w:val="24"/>
        </w:rPr>
        <w:t>количества) полностью выполнили требования к организации внутреннего финансового аудита, вследствие чего получили максимальную оценку – 1</w:t>
      </w:r>
      <w:r w:rsidR="00D31789">
        <w:rPr>
          <w:rFonts w:ascii="Times New Roman" w:hAnsi="Times New Roman" w:cs="Times New Roman"/>
          <w:sz w:val="24"/>
          <w:szCs w:val="24"/>
        </w:rPr>
        <w:t xml:space="preserve"> балл</w:t>
      </w:r>
      <w:r w:rsidR="000A7539" w:rsidRPr="000A7539">
        <w:rPr>
          <w:rFonts w:ascii="Times New Roman" w:hAnsi="Times New Roman" w:cs="Times New Roman"/>
          <w:sz w:val="24"/>
          <w:szCs w:val="24"/>
        </w:rPr>
        <w:t>.</w:t>
      </w:r>
    </w:p>
    <w:p w:rsidR="00E208AB" w:rsidRDefault="008C2E74" w:rsidP="00E20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22C15">
        <w:rPr>
          <w:rFonts w:ascii="Times New Roman" w:hAnsi="Times New Roman" w:cs="Times New Roman"/>
          <w:sz w:val="24"/>
          <w:szCs w:val="24"/>
        </w:rPr>
        <w:t xml:space="preserve">5 ГРБС, или </w:t>
      </w:r>
      <w:r>
        <w:rPr>
          <w:rFonts w:ascii="Times New Roman" w:hAnsi="Times New Roman" w:cs="Times New Roman"/>
          <w:sz w:val="24"/>
          <w:szCs w:val="24"/>
        </w:rPr>
        <w:t>40</w:t>
      </w:r>
      <w:r w:rsidR="00622C15">
        <w:rPr>
          <w:rFonts w:ascii="Times New Roman" w:hAnsi="Times New Roman" w:cs="Times New Roman"/>
          <w:sz w:val="24"/>
          <w:szCs w:val="24"/>
        </w:rPr>
        <w:t>,5</w:t>
      </w:r>
      <w:r w:rsidR="00E208AB">
        <w:rPr>
          <w:rFonts w:ascii="Times New Roman" w:hAnsi="Times New Roman" w:cs="Times New Roman"/>
          <w:sz w:val="24"/>
          <w:szCs w:val="24"/>
        </w:rPr>
        <w:t xml:space="preserve"> % от оцениваемого </w:t>
      </w:r>
      <w:r w:rsidR="002B1146">
        <w:rPr>
          <w:rFonts w:ascii="Times New Roman" w:hAnsi="Times New Roman" w:cs="Times New Roman"/>
          <w:sz w:val="24"/>
          <w:szCs w:val="24"/>
        </w:rPr>
        <w:t xml:space="preserve">их </w:t>
      </w:r>
      <w:r w:rsidR="00E208AB">
        <w:rPr>
          <w:rFonts w:ascii="Times New Roman" w:hAnsi="Times New Roman" w:cs="Times New Roman"/>
          <w:sz w:val="24"/>
          <w:szCs w:val="24"/>
        </w:rPr>
        <w:t xml:space="preserve">количества, </w:t>
      </w:r>
      <w:r w:rsidR="00E208AB" w:rsidRPr="000A7539">
        <w:rPr>
          <w:rFonts w:ascii="Times New Roman" w:hAnsi="Times New Roman" w:cs="Times New Roman"/>
          <w:sz w:val="24"/>
          <w:szCs w:val="24"/>
        </w:rPr>
        <w:t>выполнили требования к организации внутреннего финансового аудита</w:t>
      </w:r>
      <w:r w:rsidR="00E208AB">
        <w:rPr>
          <w:rFonts w:ascii="Times New Roman" w:hAnsi="Times New Roman" w:cs="Times New Roman"/>
          <w:sz w:val="24"/>
          <w:szCs w:val="24"/>
        </w:rPr>
        <w:t xml:space="preserve"> частично, получив оценку 0,5</w:t>
      </w:r>
      <w:r w:rsidR="002B1146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E208AB">
        <w:rPr>
          <w:rFonts w:ascii="Times New Roman" w:hAnsi="Times New Roman" w:cs="Times New Roman"/>
          <w:sz w:val="24"/>
          <w:szCs w:val="24"/>
        </w:rPr>
        <w:t>.</w:t>
      </w:r>
    </w:p>
    <w:p w:rsidR="00AB2B5B" w:rsidRDefault="008C2E74" w:rsidP="00E20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7 ГРБС (19</w:t>
      </w:r>
      <w:r w:rsidR="00AB1676">
        <w:rPr>
          <w:rFonts w:ascii="Times New Roman" w:hAnsi="Times New Roman" w:cs="Times New Roman"/>
          <w:sz w:val="24"/>
          <w:szCs w:val="24"/>
        </w:rPr>
        <w:t xml:space="preserve"> </w:t>
      </w:r>
      <w:r w:rsidR="000A7539" w:rsidRPr="000A7539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2B1146">
        <w:rPr>
          <w:rFonts w:ascii="Times New Roman" w:hAnsi="Times New Roman" w:cs="Times New Roman"/>
          <w:sz w:val="24"/>
          <w:szCs w:val="24"/>
        </w:rPr>
        <w:t xml:space="preserve">их </w:t>
      </w:r>
      <w:r w:rsidR="000A7539" w:rsidRPr="000A7539">
        <w:rPr>
          <w:rFonts w:ascii="Times New Roman" w:hAnsi="Times New Roman" w:cs="Times New Roman"/>
          <w:sz w:val="24"/>
          <w:szCs w:val="24"/>
        </w:rPr>
        <w:t>количества) работа по организации внутреннего финансового аудита не проводилась</w:t>
      </w:r>
      <w:r w:rsidR="000A7539">
        <w:rPr>
          <w:rFonts w:ascii="Times New Roman" w:hAnsi="Times New Roman" w:cs="Times New Roman"/>
          <w:sz w:val="24"/>
          <w:szCs w:val="24"/>
        </w:rPr>
        <w:t>, оценка показателя у них равна 0</w:t>
      </w:r>
      <w:r w:rsidR="002B1146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0A7539" w:rsidRPr="000A7539">
        <w:rPr>
          <w:rFonts w:ascii="Times New Roman" w:hAnsi="Times New Roman" w:cs="Times New Roman"/>
          <w:sz w:val="24"/>
          <w:szCs w:val="24"/>
        </w:rPr>
        <w:t>.</w:t>
      </w:r>
    </w:p>
    <w:p w:rsidR="00A73D41" w:rsidRDefault="00A73D41" w:rsidP="008C2E74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E6C" w:rsidRDefault="00DA6E6C" w:rsidP="008C2E74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E6C" w:rsidRDefault="00DA6E6C" w:rsidP="008C2E74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6E6C" w:rsidRDefault="00DA6E6C" w:rsidP="008C2E74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676" w:rsidRDefault="00AB1676" w:rsidP="008C2E74">
      <w:pPr>
        <w:spacing w:before="240"/>
        <w:jc w:val="center"/>
        <w:rPr>
          <w:rFonts w:ascii="Times New Roman" w:hAnsi="Times New Roman" w:cs="Times New Roman"/>
          <w:sz w:val="24"/>
          <w:szCs w:val="24"/>
        </w:rPr>
      </w:pPr>
      <w:r w:rsidRPr="001A5F92">
        <w:rPr>
          <w:rFonts w:ascii="Times New Roman" w:hAnsi="Times New Roman" w:cs="Times New Roman"/>
          <w:b/>
          <w:sz w:val="28"/>
          <w:szCs w:val="28"/>
        </w:rPr>
        <w:lastRenderedPageBreak/>
        <w:t>Контроль и аудит</w:t>
      </w:r>
    </w:p>
    <w:p w:rsidR="009D3D21" w:rsidRPr="001A5F92" w:rsidRDefault="008C2E74" w:rsidP="00A0338C">
      <w:pPr>
        <w:spacing w:before="240" w:after="240"/>
        <w:ind w:left="-851" w:right="-56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55F7DBD5" wp14:editId="6781EA68">
            <wp:extent cx="6877685" cy="5033176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04F07" w:rsidRPr="000A3E2A" w:rsidRDefault="00904F07" w:rsidP="00993C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173">
        <w:rPr>
          <w:rFonts w:ascii="Times New Roman" w:hAnsi="Times New Roman" w:cs="Times New Roman"/>
          <w:sz w:val="24"/>
          <w:szCs w:val="24"/>
          <w:u w:val="single"/>
        </w:rPr>
        <w:t>Средняя оценка</w:t>
      </w:r>
      <w:r w:rsidRPr="00152173">
        <w:rPr>
          <w:rFonts w:ascii="Times New Roman" w:hAnsi="Times New Roman" w:cs="Times New Roman"/>
          <w:sz w:val="24"/>
          <w:szCs w:val="24"/>
        </w:rPr>
        <w:t xml:space="preserve"> качества </w:t>
      </w:r>
      <w:r w:rsidR="00FF1541" w:rsidRPr="00152173">
        <w:rPr>
          <w:rFonts w:ascii="Times New Roman" w:hAnsi="Times New Roman" w:cs="Times New Roman"/>
          <w:sz w:val="24"/>
          <w:szCs w:val="24"/>
        </w:rPr>
        <w:t>финансового менеджмента по группе показателей «Контроль</w:t>
      </w:r>
      <w:r w:rsidRPr="00152173">
        <w:rPr>
          <w:rFonts w:ascii="Times New Roman" w:hAnsi="Times New Roman" w:cs="Times New Roman"/>
          <w:sz w:val="24"/>
          <w:szCs w:val="24"/>
        </w:rPr>
        <w:t xml:space="preserve"> и аудит</w:t>
      </w:r>
      <w:r w:rsidR="00FF1541" w:rsidRPr="00152173">
        <w:rPr>
          <w:rFonts w:ascii="Times New Roman" w:hAnsi="Times New Roman" w:cs="Times New Roman"/>
          <w:sz w:val="24"/>
          <w:szCs w:val="24"/>
        </w:rPr>
        <w:t>»</w:t>
      </w:r>
      <w:r w:rsidRPr="00152173">
        <w:rPr>
          <w:rFonts w:ascii="Times New Roman" w:hAnsi="Times New Roman" w:cs="Times New Roman"/>
          <w:sz w:val="24"/>
          <w:szCs w:val="24"/>
        </w:rPr>
        <w:t xml:space="preserve"> по 3</w:t>
      </w:r>
      <w:r w:rsidR="00622C15">
        <w:rPr>
          <w:rFonts w:ascii="Times New Roman" w:hAnsi="Times New Roman" w:cs="Times New Roman"/>
          <w:sz w:val="24"/>
          <w:szCs w:val="24"/>
        </w:rPr>
        <w:t>7</w:t>
      </w:r>
      <w:r w:rsidRPr="00152173">
        <w:rPr>
          <w:rFonts w:ascii="Times New Roman" w:hAnsi="Times New Roman" w:cs="Times New Roman"/>
          <w:sz w:val="24"/>
          <w:szCs w:val="24"/>
        </w:rPr>
        <w:t xml:space="preserve"> оцениваемым </w:t>
      </w:r>
      <w:r w:rsidRPr="00942C5C">
        <w:rPr>
          <w:rFonts w:ascii="Times New Roman" w:hAnsi="Times New Roman" w:cs="Times New Roman"/>
          <w:sz w:val="24"/>
          <w:szCs w:val="24"/>
        </w:rPr>
        <w:t xml:space="preserve">ГРБС </w:t>
      </w:r>
      <w:r w:rsidR="00942C5C" w:rsidRPr="00942C5C">
        <w:rPr>
          <w:rFonts w:ascii="Times New Roman" w:hAnsi="Times New Roman" w:cs="Times New Roman"/>
          <w:sz w:val="24"/>
          <w:szCs w:val="24"/>
        </w:rPr>
        <w:t>с учетом удельного веса показателей данной группы</w:t>
      </w:r>
      <w:r w:rsidR="002B1146" w:rsidRPr="00942C5C">
        <w:rPr>
          <w:rFonts w:ascii="Times New Roman" w:hAnsi="Times New Roman" w:cs="Times New Roman"/>
          <w:sz w:val="24"/>
          <w:szCs w:val="24"/>
        </w:rPr>
        <w:t xml:space="preserve"> </w:t>
      </w:r>
      <w:r w:rsidRPr="00942C5C">
        <w:rPr>
          <w:rFonts w:ascii="Times New Roman" w:hAnsi="Times New Roman" w:cs="Times New Roman"/>
          <w:sz w:val="24"/>
          <w:szCs w:val="24"/>
        </w:rPr>
        <w:t>состав</w:t>
      </w:r>
      <w:r w:rsidR="00F727B8" w:rsidRPr="00942C5C">
        <w:rPr>
          <w:rFonts w:ascii="Times New Roman" w:hAnsi="Times New Roman" w:cs="Times New Roman"/>
          <w:sz w:val="24"/>
          <w:szCs w:val="24"/>
        </w:rPr>
        <w:t>ила</w:t>
      </w:r>
      <w:r w:rsidRPr="00942C5C">
        <w:rPr>
          <w:rFonts w:ascii="Times New Roman" w:hAnsi="Times New Roman" w:cs="Times New Roman"/>
          <w:sz w:val="24"/>
          <w:szCs w:val="24"/>
        </w:rPr>
        <w:t xml:space="preserve"> </w:t>
      </w:r>
      <w:r w:rsidR="00BD761E">
        <w:rPr>
          <w:rFonts w:ascii="Times New Roman" w:hAnsi="Times New Roman" w:cs="Times New Roman"/>
          <w:sz w:val="24"/>
          <w:szCs w:val="24"/>
        </w:rPr>
        <w:t xml:space="preserve">88,2 </w:t>
      </w:r>
      <w:r w:rsidRPr="00942C5C">
        <w:rPr>
          <w:rFonts w:ascii="Times New Roman" w:hAnsi="Times New Roman" w:cs="Times New Roman"/>
          <w:sz w:val="24"/>
          <w:szCs w:val="24"/>
        </w:rPr>
        <w:t>балл</w:t>
      </w:r>
      <w:r w:rsidR="00BD761E">
        <w:rPr>
          <w:rFonts w:ascii="Times New Roman" w:hAnsi="Times New Roman" w:cs="Times New Roman"/>
          <w:sz w:val="24"/>
          <w:szCs w:val="24"/>
        </w:rPr>
        <w:t>а</w:t>
      </w:r>
      <w:r w:rsidRPr="00942C5C">
        <w:rPr>
          <w:rFonts w:ascii="Times New Roman" w:hAnsi="Times New Roman" w:cs="Times New Roman"/>
          <w:sz w:val="24"/>
          <w:szCs w:val="24"/>
        </w:rPr>
        <w:t xml:space="preserve"> </w:t>
      </w:r>
      <w:r w:rsidR="003E5460" w:rsidRPr="00942C5C">
        <w:rPr>
          <w:rFonts w:ascii="Times New Roman" w:hAnsi="Times New Roman" w:cs="Times New Roman"/>
          <w:sz w:val="24"/>
          <w:szCs w:val="24"/>
        </w:rPr>
        <w:t>по</w:t>
      </w:r>
      <w:r w:rsidRPr="00942C5C">
        <w:rPr>
          <w:rFonts w:ascii="Times New Roman" w:hAnsi="Times New Roman" w:cs="Times New Roman"/>
          <w:sz w:val="24"/>
          <w:szCs w:val="24"/>
        </w:rPr>
        <w:t xml:space="preserve"> 100-балльной шкале</w:t>
      </w:r>
      <w:r w:rsidRPr="00152173">
        <w:rPr>
          <w:rFonts w:ascii="Times New Roman" w:hAnsi="Times New Roman" w:cs="Times New Roman"/>
          <w:sz w:val="24"/>
          <w:szCs w:val="24"/>
        </w:rPr>
        <w:t>.</w:t>
      </w:r>
      <w:r w:rsidR="0009251A" w:rsidRPr="001521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C5E" w:rsidRPr="00993C5E" w:rsidRDefault="00BD761E" w:rsidP="00993C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2D304E">
        <w:rPr>
          <w:rFonts w:ascii="Times New Roman" w:hAnsi="Times New Roman" w:cs="Times New Roman"/>
          <w:sz w:val="24"/>
          <w:szCs w:val="24"/>
        </w:rPr>
        <w:t xml:space="preserve"> </w:t>
      </w:r>
      <w:r w:rsidR="000A7539" w:rsidRPr="00993C5E">
        <w:rPr>
          <w:rFonts w:ascii="Times New Roman" w:hAnsi="Times New Roman" w:cs="Times New Roman"/>
          <w:sz w:val="24"/>
          <w:szCs w:val="24"/>
        </w:rPr>
        <w:t>ГРБС</w:t>
      </w:r>
      <w:r w:rsidR="00AD3793">
        <w:rPr>
          <w:rFonts w:ascii="Times New Roman" w:hAnsi="Times New Roman" w:cs="Times New Roman"/>
          <w:sz w:val="24"/>
          <w:szCs w:val="24"/>
        </w:rPr>
        <w:t xml:space="preserve">, или </w:t>
      </w:r>
      <w:r>
        <w:rPr>
          <w:rFonts w:ascii="Times New Roman" w:hAnsi="Times New Roman" w:cs="Times New Roman"/>
          <w:sz w:val="24"/>
          <w:szCs w:val="24"/>
        </w:rPr>
        <w:t>62,2</w:t>
      </w:r>
      <w:r w:rsidR="00993C5E" w:rsidRPr="00993C5E">
        <w:rPr>
          <w:rFonts w:ascii="Times New Roman" w:hAnsi="Times New Roman" w:cs="Times New Roman"/>
          <w:sz w:val="24"/>
          <w:szCs w:val="24"/>
        </w:rPr>
        <w:t xml:space="preserve"> % от оцениваемого </w:t>
      </w:r>
      <w:r w:rsidR="008542D0">
        <w:rPr>
          <w:rFonts w:ascii="Times New Roman" w:hAnsi="Times New Roman" w:cs="Times New Roman"/>
          <w:sz w:val="24"/>
          <w:szCs w:val="24"/>
        </w:rPr>
        <w:t xml:space="preserve">их </w:t>
      </w:r>
      <w:r w:rsidR="00993C5E" w:rsidRPr="00993C5E">
        <w:rPr>
          <w:rFonts w:ascii="Times New Roman" w:hAnsi="Times New Roman" w:cs="Times New Roman"/>
          <w:sz w:val="24"/>
          <w:szCs w:val="24"/>
        </w:rPr>
        <w:t>количества, имеют оценки качества финансового менеджмента по группе показателей «Контро</w:t>
      </w:r>
      <w:r w:rsidR="00AD3793">
        <w:rPr>
          <w:rFonts w:ascii="Times New Roman" w:hAnsi="Times New Roman" w:cs="Times New Roman"/>
          <w:sz w:val="24"/>
          <w:szCs w:val="24"/>
        </w:rPr>
        <w:t>ль и аудит» выше средней оценки</w:t>
      </w:r>
      <w:r w:rsidR="00993C5E">
        <w:rPr>
          <w:rFonts w:ascii="Times New Roman" w:hAnsi="Times New Roman" w:cs="Times New Roman"/>
          <w:sz w:val="24"/>
          <w:szCs w:val="24"/>
        </w:rPr>
        <w:t>.</w:t>
      </w:r>
    </w:p>
    <w:p w:rsidR="002D304E" w:rsidRPr="002D304E" w:rsidRDefault="00993C5E" w:rsidP="00EB572A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У</w:t>
      </w:r>
      <w:r w:rsidR="00AD3793">
        <w:rPr>
          <w:rFonts w:ascii="Times New Roman" w:hAnsi="Times New Roman" w:cs="Times New Roman"/>
          <w:sz w:val="24"/>
          <w:szCs w:val="24"/>
        </w:rPr>
        <w:t xml:space="preserve"> </w:t>
      </w:r>
      <w:r w:rsidR="003B5845">
        <w:rPr>
          <w:rFonts w:ascii="Times New Roman" w:hAnsi="Times New Roman" w:cs="Times New Roman"/>
          <w:sz w:val="24"/>
          <w:szCs w:val="24"/>
        </w:rPr>
        <w:t>14</w:t>
      </w:r>
      <w:r w:rsidRPr="00993C5E">
        <w:rPr>
          <w:rFonts w:ascii="Times New Roman" w:hAnsi="Times New Roman" w:cs="Times New Roman"/>
          <w:sz w:val="24"/>
          <w:szCs w:val="24"/>
        </w:rPr>
        <w:t xml:space="preserve"> ГРБС</w:t>
      </w:r>
      <w:r w:rsidR="003B5845">
        <w:rPr>
          <w:rFonts w:ascii="Times New Roman" w:hAnsi="Times New Roman" w:cs="Times New Roman"/>
          <w:sz w:val="24"/>
          <w:szCs w:val="24"/>
        </w:rPr>
        <w:t xml:space="preserve"> (37,8</w:t>
      </w:r>
      <w:r w:rsidR="002D304E">
        <w:rPr>
          <w:rFonts w:ascii="Times New Roman" w:hAnsi="Times New Roman" w:cs="Times New Roman"/>
          <w:sz w:val="24"/>
          <w:szCs w:val="24"/>
        </w:rPr>
        <w:t xml:space="preserve"> % </w:t>
      </w:r>
      <w:r w:rsidR="002D304E" w:rsidRPr="00993C5E">
        <w:rPr>
          <w:rFonts w:ascii="Times New Roman" w:hAnsi="Times New Roman" w:cs="Times New Roman"/>
          <w:sz w:val="24"/>
          <w:szCs w:val="24"/>
        </w:rPr>
        <w:t xml:space="preserve">от оцениваемого </w:t>
      </w:r>
      <w:r w:rsidR="008F1014">
        <w:rPr>
          <w:rFonts w:ascii="Times New Roman" w:hAnsi="Times New Roman" w:cs="Times New Roman"/>
          <w:sz w:val="24"/>
          <w:szCs w:val="24"/>
        </w:rPr>
        <w:t>их количества)</w:t>
      </w:r>
      <w:r w:rsidRPr="00993C5E">
        <w:rPr>
          <w:rFonts w:ascii="Times New Roman" w:hAnsi="Times New Roman" w:cs="Times New Roman"/>
          <w:sz w:val="24"/>
          <w:szCs w:val="24"/>
        </w:rPr>
        <w:t xml:space="preserve"> индивидуальный балл ниже среднего</w:t>
      </w:r>
      <w:r w:rsidR="00EB572A">
        <w:rPr>
          <w:rFonts w:ascii="Times New Roman" w:hAnsi="Times New Roman" w:cs="Times New Roman"/>
          <w:sz w:val="24"/>
          <w:szCs w:val="24"/>
        </w:rPr>
        <w:t>.</w:t>
      </w:r>
    </w:p>
    <w:p w:rsidR="00904F07" w:rsidRPr="00FE30F5" w:rsidRDefault="00904F07" w:rsidP="000B144B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862">
        <w:rPr>
          <w:rFonts w:ascii="Times New Roman" w:hAnsi="Times New Roman" w:cs="Times New Roman"/>
          <w:b/>
          <w:sz w:val="24"/>
          <w:szCs w:val="24"/>
        </w:rPr>
        <w:t>6. Исполнение судебных актов</w:t>
      </w:r>
    </w:p>
    <w:p w:rsidR="00993C5E" w:rsidRPr="00993C5E" w:rsidRDefault="00993C5E" w:rsidP="00993C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C5E">
        <w:rPr>
          <w:rFonts w:ascii="Times New Roman" w:hAnsi="Times New Roman" w:cs="Times New Roman"/>
          <w:sz w:val="24"/>
          <w:szCs w:val="24"/>
        </w:rPr>
        <w:t>При расчёте четырех показателей Мониторинга в части исполнения судебных актов оценивался уровень исполнения исковых требований о возмещении ущерба от незаконны</w:t>
      </w:r>
      <w:r w:rsidR="002D304E">
        <w:rPr>
          <w:rFonts w:ascii="Times New Roman" w:hAnsi="Times New Roman" w:cs="Times New Roman"/>
          <w:sz w:val="24"/>
          <w:szCs w:val="24"/>
        </w:rPr>
        <w:t>х действий или бездействия ГРБС и</w:t>
      </w:r>
      <w:r w:rsidRPr="00993C5E">
        <w:rPr>
          <w:rFonts w:ascii="Times New Roman" w:hAnsi="Times New Roman" w:cs="Times New Roman"/>
          <w:sz w:val="24"/>
          <w:szCs w:val="24"/>
        </w:rPr>
        <w:t xml:space="preserve"> </w:t>
      </w:r>
      <w:r w:rsidR="002D304E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Pr="00993C5E">
        <w:rPr>
          <w:rFonts w:ascii="Times New Roman" w:hAnsi="Times New Roman" w:cs="Times New Roman"/>
          <w:sz w:val="24"/>
          <w:szCs w:val="24"/>
        </w:rPr>
        <w:t xml:space="preserve"> и их должностных лиц к заявленным исковым требованиям, вступившим в законную силу.</w:t>
      </w:r>
    </w:p>
    <w:p w:rsidR="00993C5E" w:rsidRPr="00993C5E" w:rsidRDefault="00993C5E" w:rsidP="00993C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C5E">
        <w:rPr>
          <w:rFonts w:ascii="Times New Roman" w:hAnsi="Times New Roman" w:cs="Times New Roman"/>
          <w:sz w:val="24"/>
          <w:szCs w:val="24"/>
        </w:rPr>
        <w:lastRenderedPageBreak/>
        <w:t>Исполнительные документы по денежным обязательствам, предусматривающие единовремен</w:t>
      </w:r>
      <w:r w:rsidR="003F29A6">
        <w:rPr>
          <w:rFonts w:ascii="Times New Roman" w:hAnsi="Times New Roman" w:cs="Times New Roman"/>
          <w:sz w:val="24"/>
          <w:szCs w:val="24"/>
        </w:rPr>
        <w:t>ные выплаты, были предъявлены 1</w:t>
      </w:r>
      <w:r w:rsidR="003B5845">
        <w:rPr>
          <w:rFonts w:ascii="Times New Roman" w:hAnsi="Times New Roman" w:cs="Times New Roman"/>
          <w:sz w:val="24"/>
          <w:szCs w:val="24"/>
        </w:rPr>
        <w:t>9</w:t>
      </w:r>
      <w:r w:rsidR="00E30510">
        <w:rPr>
          <w:rFonts w:ascii="Times New Roman" w:hAnsi="Times New Roman" w:cs="Times New Roman"/>
          <w:sz w:val="24"/>
          <w:szCs w:val="24"/>
        </w:rPr>
        <w:t xml:space="preserve"> ГРБС.</w:t>
      </w:r>
      <w:r w:rsidRPr="00993C5E">
        <w:rPr>
          <w:rFonts w:ascii="Times New Roman" w:hAnsi="Times New Roman" w:cs="Times New Roman"/>
          <w:sz w:val="24"/>
          <w:szCs w:val="24"/>
        </w:rPr>
        <w:t xml:space="preserve"> </w:t>
      </w:r>
      <w:r w:rsidR="008B733C">
        <w:rPr>
          <w:rFonts w:ascii="Times New Roman" w:hAnsi="Times New Roman" w:cs="Times New Roman"/>
          <w:sz w:val="24"/>
          <w:szCs w:val="24"/>
        </w:rPr>
        <w:t>Все ГРБС</w:t>
      </w:r>
      <w:r w:rsidRPr="00993C5E">
        <w:rPr>
          <w:rFonts w:ascii="Times New Roman" w:hAnsi="Times New Roman" w:cs="Times New Roman"/>
          <w:sz w:val="24"/>
          <w:szCs w:val="24"/>
        </w:rPr>
        <w:t xml:space="preserve"> исполнили судебные решения в</w:t>
      </w:r>
      <w:r w:rsidR="008B733C">
        <w:rPr>
          <w:rFonts w:ascii="Times New Roman" w:hAnsi="Times New Roman" w:cs="Times New Roman"/>
          <w:sz w:val="24"/>
          <w:szCs w:val="24"/>
        </w:rPr>
        <w:t xml:space="preserve"> полном объеме. Им, а также тем</w:t>
      </w:r>
      <w:r w:rsidRPr="00993C5E">
        <w:rPr>
          <w:rFonts w:ascii="Times New Roman" w:hAnsi="Times New Roman" w:cs="Times New Roman"/>
          <w:sz w:val="24"/>
          <w:szCs w:val="24"/>
        </w:rPr>
        <w:t xml:space="preserve"> ГРБС, по которым судебные реше</w:t>
      </w:r>
      <w:r w:rsidR="008B733C">
        <w:rPr>
          <w:rFonts w:ascii="Times New Roman" w:hAnsi="Times New Roman" w:cs="Times New Roman"/>
          <w:sz w:val="24"/>
          <w:szCs w:val="24"/>
        </w:rPr>
        <w:t>ния в 2020</w:t>
      </w:r>
      <w:r w:rsidRPr="00993C5E">
        <w:rPr>
          <w:rFonts w:ascii="Times New Roman" w:hAnsi="Times New Roman" w:cs="Times New Roman"/>
          <w:sz w:val="24"/>
          <w:szCs w:val="24"/>
        </w:rPr>
        <w:t xml:space="preserve"> году не выносились, присвоена максимальная оценка – 1</w:t>
      </w:r>
      <w:r w:rsidR="008542D0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993C5E">
        <w:rPr>
          <w:rFonts w:ascii="Times New Roman" w:hAnsi="Times New Roman" w:cs="Times New Roman"/>
          <w:sz w:val="24"/>
          <w:szCs w:val="24"/>
        </w:rPr>
        <w:t>.</w:t>
      </w:r>
      <w:r w:rsidR="00667C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304E" w:rsidRDefault="00993C5E" w:rsidP="00732C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C5E">
        <w:rPr>
          <w:rFonts w:ascii="Times New Roman" w:hAnsi="Times New Roman" w:cs="Times New Roman"/>
          <w:sz w:val="24"/>
          <w:szCs w:val="24"/>
        </w:rPr>
        <w:t xml:space="preserve">По денежным обязательствам, предусматривающим периодические </w:t>
      </w:r>
      <w:r w:rsidR="00AD3793">
        <w:rPr>
          <w:rFonts w:ascii="Times New Roman" w:hAnsi="Times New Roman" w:cs="Times New Roman"/>
          <w:sz w:val="24"/>
          <w:szCs w:val="24"/>
        </w:rPr>
        <w:t>выплаты, судебн</w:t>
      </w:r>
      <w:r w:rsidR="00010B5B">
        <w:rPr>
          <w:rFonts w:ascii="Times New Roman" w:hAnsi="Times New Roman" w:cs="Times New Roman"/>
          <w:sz w:val="24"/>
          <w:szCs w:val="24"/>
        </w:rPr>
        <w:t xml:space="preserve">ые решения в </w:t>
      </w:r>
      <w:r w:rsidR="00732C51">
        <w:rPr>
          <w:rFonts w:ascii="Times New Roman" w:hAnsi="Times New Roman" w:cs="Times New Roman"/>
          <w:sz w:val="24"/>
          <w:szCs w:val="24"/>
        </w:rPr>
        <w:t>2020</w:t>
      </w:r>
      <w:r w:rsidRPr="00993C5E">
        <w:rPr>
          <w:rFonts w:ascii="Times New Roman" w:hAnsi="Times New Roman" w:cs="Times New Roman"/>
          <w:sz w:val="24"/>
          <w:szCs w:val="24"/>
        </w:rPr>
        <w:t xml:space="preserve"> году не выносились, по этим показателям всем ГРБС прис</w:t>
      </w:r>
      <w:r w:rsidR="008542D0">
        <w:rPr>
          <w:rFonts w:ascii="Times New Roman" w:hAnsi="Times New Roman" w:cs="Times New Roman"/>
          <w:sz w:val="24"/>
          <w:szCs w:val="24"/>
        </w:rPr>
        <w:t>воена наи</w:t>
      </w:r>
      <w:r w:rsidRPr="00993C5E">
        <w:rPr>
          <w:rFonts w:ascii="Times New Roman" w:hAnsi="Times New Roman" w:cs="Times New Roman"/>
          <w:sz w:val="24"/>
          <w:szCs w:val="24"/>
        </w:rPr>
        <w:t>высшая оценка – 1</w:t>
      </w:r>
      <w:r w:rsidR="008542D0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993C5E">
        <w:rPr>
          <w:rFonts w:ascii="Times New Roman" w:hAnsi="Times New Roman" w:cs="Times New Roman"/>
          <w:sz w:val="24"/>
          <w:szCs w:val="24"/>
        </w:rPr>
        <w:t>.</w:t>
      </w:r>
    </w:p>
    <w:p w:rsidR="00592D31" w:rsidRDefault="00592D31" w:rsidP="00732C5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D31">
        <w:rPr>
          <w:rFonts w:ascii="Times New Roman" w:hAnsi="Times New Roman" w:cs="Times New Roman"/>
          <w:sz w:val="24"/>
          <w:szCs w:val="24"/>
        </w:rPr>
        <w:t>Средняя оценка качества финансового менеджмента по группе показателей «Исполнени</w:t>
      </w:r>
      <w:r w:rsidR="00732C51">
        <w:rPr>
          <w:rFonts w:ascii="Times New Roman" w:hAnsi="Times New Roman" w:cs="Times New Roman"/>
          <w:sz w:val="24"/>
          <w:szCs w:val="24"/>
        </w:rPr>
        <w:t>е судебных актов» составила 100</w:t>
      </w:r>
      <w:r w:rsidRPr="00592D31">
        <w:rPr>
          <w:rFonts w:ascii="Times New Roman" w:hAnsi="Times New Roman" w:cs="Times New Roman"/>
          <w:sz w:val="24"/>
          <w:szCs w:val="24"/>
        </w:rPr>
        <w:t xml:space="preserve"> % по 100-балльной шкале. </w:t>
      </w:r>
    </w:p>
    <w:p w:rsidR="00A71910" w:rsidRPr="00FB191B" w:rsidRDefault="00A71910" w:rsidP="00E30510">
      <w:pPr>
        <w:spacing w:line="360" w:lineRule="auto"/>
        <w:ind w:firstLine="709"/>
        <w:jc w:val="center"/>
        <w:rPr>
          <w:noProof/>
          <w:sz w:val="24"/>
          <w:szCs w:val="24"/>
        </w:rPr>
      </w:pPr>
      <w:r w:rsidRPr="00FB191B">
        <w:rPr>
          <w:rFonts w:ascii="Times New Roman" w:hAnsi="Times New Roman" w:cs="Times New Roman"/>
          <w:b/>
          <w:sz w:val="24"/>
          <w:szCs w:val="24"/>
        </w:rPr>
        <w:t>Исполнение судебных актов</w:t>
      </w:r>
    </w:p>
    <w:p w:rsidR="002D304E" w:rsidRPr="001A5F92" w:rsidRDefault="00732C51" w:rsidP="00587E09">
      <w:pPr>
        <w:spacing w:after="0"/>
        <w:ind w:left="-127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11C8F8B5" wp14:editId="74D38F66">
            <wp:extent cx="7164070" cy="4556097"/>
            <wp:effectExtent l="0" t="0" r="0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00F0A" w:rsidRPr="00FE30F5" w:rsidRDefault="00200F0A" w:rsidP="00200F0A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C7862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Управление активами</w:t>
      </w:r>
    </w:p>
    <w:p w:rsidR="00A71910" w:rsidRPr="00A71910" w:rsidRDefault="000F5219" w:rsidP="00A7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руппа показателей </w:t>
      </w:r>
      <w:r>
        <w:rPr>
          <w:rFonts w:ascii="Times New Roman" w:hAnsi="Times New Roman" w:cs="Times New Roman"/>
          <w:sz w:val="24"/>
          <w:szCs w:val="24"/>
        </w:rPr>
        <w:t>«Управление активами» включает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од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71910" w:rsidRPr="00A71910">
        <w:rPr>
          <w:rFonts w:ascii="Times New Roman" w:hAnsi="Times New Roman" w:cs="Times New Roman"/>
          <w:sz w:val="24"/>
          <w:szCs w:val="24"/>
        </w:rPr>
        <w:t>н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«Динамика объема материальных запасов ГРБС и </w:t>
      </w:r>
      <w:r w:rsidR="003252BD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="00A71910" w:rsidRPr="00A7191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71910" w:rsidRPr="00A71910">
        <w:rPr>
          <w:rFonts w:ascii="Times New Roman" w:hAnsi="Times New Roman" w:cs="Times New Roman"/>
          <w:sz w:val="24"/>
          <w:szCs w:val="24"/>
        </w:rPr>
        <w:t>го расчет осуществлялся на основании данных баланс</w:t>
      </w:r>
      <w:r w:rsidR="00A71910">
        <w:rPr>
          <w:rFonts w:ascii="Times New Roman" w:hAnsi="Times New Roman" w:cs="Times New Roman"/>
          <w:sz w:val="24"/>
          <w:szCs w:val="24"/>
        </w:rPr>
        <w:t>ов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A71910">
        <w:rPr>
          <w:rFonts w:ascii="Times New Roman" w:hAnsi="Times New Roman" w:cs="Times New Roman"/>
          <w:sz w:val="24"/>
          <w:szCs w:val="24"/>
        </w:rPr>
        <w:t>ых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A71910">
        <w:rPr>
          <w:rFonts w:ascii="Times New Roman" w:hAnsi="Times New Roman" w:cs="Times New Roman"/>
          <w:sz w:val="24"/>
          <w:szCs w:val="24"/>
        </w:rPr>
        <w:t>ей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средств бюджета автономного округа, представляем</w:t>
      </w:r>
      <w:r w:rsidR="00A71910">
        <w:rPr>
          <w:rFonts w:ascii="Times New Roman" w:hAnsi="Times New Roman" w:cs="Times New Roman"/>
          <w:sz w:val="24"/>
          <w:szCs w:val="24"/>
        </w:rPr>
        <w:t>ых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в составе годовой бюджетной отч</w:t>
      </w:r>
      <w:r w:rsidR="00BC103F">
        <w:rPr>
          <w:rFonts w:ascii="Times New Roman" w:hAnsi="Times New Roman" w:cs="Times New Roman"/>
          <w:sz w:val="24"/>
          <w:szCs w:val="24"/>
        </w:rPr>
        <w:t>ётности за 2020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94C96" w:rsidRDefault="005812F9" w:rsidP="00194C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Мониторинг</w:t>
      </w:r>
      <w:r w:rsidR="00BC103F">
        <w:rPr>
          <w:rFonts w:ascii="Times New Roman" w:hAnsi="Times New Roman" w:cs="Times New Roman"/>
          <w:sz w:val="24"/>
          <w:szCs w:val="24"/>
        </w:rPr>
        <w:t xml:space="preserve"> показал, что у 17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ГРБС</w:t>
      </w:r>
      <w:r w:rsidR="00BF1109">
        <w:rPr>
          <w:rFonts w:ascii="Times New Roman" w:hAnsi="Times New Roman" w:cs="Times New Roman"/>
          <w:sz w:val="24"/>
          <w:szCs w:val="24"/>
        </w:rPr>
        <w:t xml:space="preserve"> из 34 оцениваемых (50</w:t>
      </w:r>
      <w:r w:rsidR="00A71910">
        <w:rPr>
          <w:rFonts w:ascii="Times New Roman" w:hAnsi="Times New Roman" w:cs="Times New Roman"/>
          <w:sz w:val="24"/>
          <w:szCs w:val="24"/>
        </w:rPr>
        <w:t> </w:t>
      </w:r>
      <w:r w:rsidR="00A71910" w:rsidRPr="00A71910">
        <w:rPr>
          <w:rFonts w:ascii="Times New Roman" w:hAnsi="Times New Roman" w:cs="Times New Roman"/>
          <w:sz w:val="24"/>
          <w:szCs w:val="24"/>
        </w:rPr>
        <w:t>% от оцениваемого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количества) наблюдается уменьшение </w:t>
      </w:r>
      <w:r w:rsidR="00066AAF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A71910" w:rsidRPr="00A71910">
        <w:rPr>
          <w:rFonts w:ascii="Times New Roman" w:hAnsi="Times New Roman" w:cs="Times New Roman"/>
          <w:sz w:val="24"/>
          <w:szCs w:val="24"/>
        </w:rPr>
        <w:t>материальных запасов</w:t>
      </w:r>
      <w:r w:rsidR="00452E9B">
        <w:rPr>
          <w:rFonts w:ascii="Times New Roman" w:hAnsi="Times New Roman" w:cs="Times New Roman"/>
          <w:sz w:val="24"/>
          <w:szCs w:val="24"/>
        </w:rPr>
        <w:t xml:space="preserve"> относительно объема ма</w:t>
      </w:r>
      <w:r w:rsidR="00BC103F">
        <w:rPr>
          <w:rFonts w:ascii="Times New Roman" w:hAnsi="Times New Roman" w:cs="Times New Roman"/>
          <w:sz w:val="24"/>
          <w:szCs w:val="24"/>
        </w:rPr>
        <w:t>териальных запасов на 01.01.2020</w:t>
      </w:r>
      <w:r w:rsidR="00452E9B">
        <w:rPr>
          <w:rFonts w:ascii="Times New Roman" w:hAnsi="Times New Roman" w:cs="Times New Roman"/>
          <w:sz w:val="24"/>
          <w:szCs w:val="24"/>
        </w:rPr>
        <w:t xml:space="preserve"> года</w:t>
      </w:r>
      <w:r w:rsidR="00A71910" w:rsidRPr="00A71910">
        <w:rPr>
          <w:rFonts w:ascii="Times New Roman" w:hAnsi="Times New Roman" w:cs="Times New Roman"/>
          <w:sz w:val="24"/>
          <w:szCs w:val="24"/>
        </w:rPr>
        <w:t>, в связи с чем</w:t>
      </w:r>
      <w:r w:rsidR="00194C96">
        <w:rPr>
          <w:rFonts w:ascii="Times New Roman" w:hAnsi="Times New Roman" w:cs="Times New Roman"/>
          <w:sz w:val="24"/>
          <w:szCs w:val="24"/>
        </w:rPr>
        <w:t>,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ГРБС получили наивысшую оценку – 1</w:t>
      </w:r>
      <w:r w:rsidR="00066AAF">
        <w:rPr>
          <w:rFonts w:ascii="Times New Roman" w:hAnsi="Times New Roman" w:cs="Times New Roman"/>
          <w:sz w:val="24"/>
          <w:szCs w:val="24"/>
        </w:rPr>
        <w:t xml:space="preserve"> балл</w:t>
      </w:r>
      <w:r w:rsidR="00A71910" w:rsidRPr="00A71910">
        <w:rPr>
          <w:rFonts w:ascii="Times New Roman" w:hAnsi="Times New Roman" w:cs="Times New Roman"/>
          <w:sz w:val="24"/>
          <w:szCs w:val="24"/>
        </w:rPr>
        <w:t>.</w:t>
      </w:r>
      <w:r w:rsidR="00021F96">
        <w:rPr>
          <w:rFonts w:ascii="Times New Roman" w:hAnsi="Times New Roman" w:cs="Times New Roman"/>
          <w:sz w:val="24"/>
          <w:szCs w:val="24"/>
        </w:rPr>
        <w:t xml:space="preserve"> </w:t>
      </w:r>
      <w:r w:rsidR="005B3957" w:rsidRPr="005B3957">
        <w:rPr>
          <w:rFonts w:ascii="Times New Roman" w:hAnsi="Times New Roman" w:cs="Times New Roman"/>
          <w:sz w:val="24"/>
          <w:szCs w:val="24"/>
        </w:rPr>
        <w:t>Департамент культуры Ханты-Мансийского автономного округа – Югры</w:t>
      </w:r>
      <w:r w:rsidR="005B3957">
        <w:rPr>
          <w:rFonts w:ascii="Times New Roman" w:hAnsi="Times New Roman" w:cs="Times New Roman"/>
          <w:sz w:val="24"/>
          <w:szCs w:val="24"/>
        </w:rPr>
        <w:t xml:space="preserve"> и </w:t>
      </w:r>
      <w:r w:rsidR="005B3957" w:rsidRPr="005B3957">
        <w:rPr>
          <w:rFonts w:ascii="Times New Roman" w:hAnsi="Times New Roman" w:cs="Times New Roman"/>
          <w:sz w:val="24"/>
          <w:szCs w:val="24"/>
        </w:rPr>
        <w:t>Представительство Ханты-Мансийского автономного округа – Югры при Правительстве Российской Федерации и в субъектах Российской Федерации</w:t>
      </w:r>
      <w:r w:rsidR="005B3957">
        <w:rPr>
          <w:rFonts w:ascii="Times New Roman" w:hAnsi="Times New Roman" w:cs="Times New Roman"/>
          <w:sz w:val="24"/>
          <w:szCs w:val="24"/>
        </w:rPr>
        <w:t xml:space="preserve"> </w:t>
      </w:r>
      <w:r w:rsidR="00021F96">
        <w:rPr>
          <w:rFonts w:ascii="Times New Roman" w:hAnsi="Times New Roman" w:cs="Times New Roman"/>
          <w:sz w:val="24"/>
          <w:szCs w:val="24"/>
        </w:rPr>
        <w:t>превысил</w:t>
      </w:r>
      <w:r w:rsidR="005B3957">
        <w:rPr>
          <w:rFonts w:ascii="Times New Roman" w:hAnsi="Times New Roman" w:cs="Times New Roman"/>
          <w:sz w:val="24"/>
          <w:szCs w:val="24"/>
        </w:rPr>
        <w:t>и</w:t>
      </w:r>
      <w:r w:rsidR="00194C96">
        <w:rPr>
          <w:rFonts w:ascii="Times New Roman" w:hAnsi="Times New Roman" w:cs="Times New Roman"/>
          <w:sz w:val="24"/>
          <w:szCs w:val="24"/>
        </w:rPr>
        <w:t xml:space="preserve"> целевой ориентир</w:t>
      </w:r>
      <w:r w:rsidR="00D426A9">
        <w:rPr>
          <w:rFonts w:ascii="Times New Roman" w:hAnsi="Times New Roman" w:cs="Times New Roman"/>
          <w:sz w:val="24"/>
          <w:szCs w:val="24"/>
        </w:rPr>
        <w:t xml:space="preserve">, но в пределах допустимых значений, </w:t>
      </w:r>
      <w:r w:rsidR="00EB3700">
        <w:rPr>
          <w:rFonts w:ascii="Times New Roman" w:hAnsi="Times New Roman" w:cs="Times New Roman"/>
          <w:sz w:val="24"/>
          <w:szCs w:val="24"/>
        </w:rPr>
        <w:t>вследствие чего оценка по данному показателю</w:t>
      </w:r>
      <w:r w:rsidR="005B3957">
        <w:rPr>
          <w:rFonts w:ascii="Times New Roman" w:hAnsi="Times New Roman" w:cs="Times New Roman"/>
          <w:sz w:val="24"/>
          <w:szCs w:val="24"/>
        </w:rPr>
        <w:t xml:space="preserve"> у них</w:t>
      </w:r>
      <w:r w:rsidR="00EB3700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="00D426A9">
        <w:rPr>
          <w:rFonts w:ascii="Times New Roman" w:hAnsi="Times New Roman" w:cs="Times New Roman"/>
          <w:sz w:val="24"/>
          <w:szCs w:val="24"/>
        </w:rPr>
        <w:t xml:space="preserve"> 0,5</w:t>
      </w:r>
      <w:r w:rsidR="005B3957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D426A9">
        <w:rPr>
          <w:rFonts w:ascii="Times New Roman" w:hAnsi="Times New Roman" w:cs="Times New Roman"/>
          <w:sz w:val="24"/>
          <w:szCs w:val="24"/>
        </w:rPr>
        <w:t>.</w:t>
      </w:r>
    </w:p>
    <w:p w:rsidR="004C2E89" w:rsidRDefault="005B3957" w:rsidP="00C449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ГРБС, или у 44,1</w:t>
      </w:r>
      <w:r w:rsidR="00005749">
        <w:rPr>
          <w:rFonts w:ascii="Times New Roman" w:hAnsi="Times New Roman" w:cs="Times New Roman"/>
          <w:sz w:val="24"/>
          <w:szCs w:val="24"/>
        </w:rPr>
        <w:t> </w:t>
      </w:r>
      <w:r w:rsidR="00452E9B">
        <w:rPr>
          <w:rFonts w:ascii="Times New Roman" w:hAnsi="Times New Roman" w:cs="Times New Roman"/>
          <w:sz w:val="24"/>
          <w:szCs w:val="24"/>
        </w:rPr>
        <w:t>% от оцениваемого их к</w:t>
      </w:r>
      <w:r w:rsidR="00A71910" w:rsidRPr="00A71910">
        <w:rPr>
          <w:rFonts w:ascii="Times New Roman" w:hAnsi="Times New Roman" w:cs="Times New Roman"/>
          <w:sz w:val="24"/>
          <w:szCs w:val="24"/>
        </w:rPr>
        <w:t>оличества,</w:t>
      </w:r>
      <w:r w:rsidR="002D3203">
        <w:rPr>
          <w:rFonts w:ascii="Times New Roman" w:hAnsi="Times New Roman" w:cs="Times New Roman"/>
          <w:sz w:val="24"/>
          <w:szCs w:val="24"/>
        </w:rPr>
        <w:t xml:space="preserve"> показали неудовлетворительное качество управления активами. У этих ГРБС</w:t>
      </w:r>
      <w:r>
        <w:rPr>
          <w:rFonts w:ascii="Times New Roman" w:hAnsi="Times New Roman" w:cs="Times New Roman"/>
          <w:sz w:val="24"/>
          <w:szCs w:val="24"/>
        </w:rPr>
        <w:t xml:space="preserve"> наблюдается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увеличение </w:t>
      </w:r>
      <w:r w:rsidR="00452E9B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A71910" w:rsidRPr="00A71910">
        <w:rPr>
          <w:rFonts w:ascii="Times New Roman" w:hAnsi="Times New Roman" w:cs="Times New Roman"/>
          <w:sz w:val="24"/>
          <w:szCs w:val="24"/>
        </w:rPr>
        <w:t>материальных запа</w:t>
      </w:r>
      <w:r w:rsidR="00D426A9">
        <w:rPr>
          <w:rFonts w:ascii="Times New Roman" w:hAnsi="Times New Roman" w:cs="Times New Roman"/>
          <w:sz w:val="24"/>
          <w:szCs w:val="24"/>
        </w:rPr>
        <w:t>сов более чем на 10 </w:t>
      </w:r>
      <w:r w:rsidR="00A71910" w:rsidRPr="00A71910">
        <w:rPr>
          <w:rFonts w:ascii="Times New Roman" w:hAnsi="Times New Roman" w:cs="Times New Roman"/>
          <w:sz w:val="24"/>
          <w:szCs w:val="24"/>
        </w:rPr>
        <w:t>%</w:t>
      </w:r>
      <w:r w:rsidR="00452E9B">
        <w:rPr>
          <w:rFonts w:ascii="Times New Roman" w:hAnsi="Times New Roman" w:cs="Times New Roman"/>
          <w:sz w:val="24"/>
          <w:szCs w:val="24"/>
        </w:rPr>
        <w:t xml:space="preserve"> от объема ма</w:t>
      </w:r>
      <w:r>
        <w:rPr>
          <w:rFonts w:ascii="Times New Roman" w:hAnsi="Times New Roman" w:cs="Times New Roman"/>
          <w:sz w:val="24"/>
          <w:szCs w:val="24"/>
        </w:rPr>
        <w:t>териальных запасов на 01.01.2020</w:t>
      </w:r>
      <w:r w:rsidR="00452E9B">
        <w:rPr>
          <w:rFonts w:ascii="Times New Roman" w:hAnsi="Times New Roman" w:cs="Times New Roman"/>
          <w:sz w:val="24"/>
          <w:szCs w:val="24"/>
        </w:rPr>
        <w:t xml:space="preserve"> года</w:t>
      </w:r>
      <w:r w:rsidR="00A71910" w:rsidRPr="00A71910">
        <w:rPr>
          <w:rFonts w:ascii="Times New Roman" w:hAnsi="Times New Roman" w:cs="Times New Roman"/>
          <w:sz w:val="24"/>
          <w:szCs w:val="24"/>
        </w:rPr>
        <w:t>, вследствие чего данные ГРБС получили</w:t>
      </w:r>
      <w:r w:rsidR="002D3203">
        <w:rPr>
          <w:rFonts w:ascii="Times New Roman" w:hAnsi="Times New Roman" w:cs="Times New Roman"/>
          <w:sz w:val="24"/>
          <w:szCs w:val="24"/>
        </w:rPr>
        <w:t xml:space="preserve"> минимальную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</w:t>
      </w:r>
      <w:r w:rsidR="002D3203">
        <w:rPr>
          <w:rFonts w:ascii="Times New Roman" w:hAnsi="Times New Roman" w:cs="Times New Roman"/>
          <w:sz w:val="24"/>
          <w:szCs w:val="24"/>
        </w:rPr>
        <w:t xml:space="preserve">      </w:t>
      </w:r>
      <w:r w:rsidR="00A71910" w:rsidRPr="00A71910">
        <w:rPr>
          <w:rFonts w:ascii="Times New Roman" w:hAnsi="Times New Roman" w:cs="Times New Roman"/>
          <w:sz w:val="24"/>
          <w:szCs w:val="24"/>
        </w:rPr>
        <w:t>оценку</w:t>
      </w:r>
      <w:r w:rsidR="002D3203">
        <w:rPr>
          <w:rFonts w:ascii="Times New Roman" w:hAnsi="Times New Roman" w:cs="Times New Roman"/>
          <w:sz w:val="24"/>
          <w:szCs w:val="24"/>
        </w:rPr>
        <w:t xml:space="preserve"> –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0</w:t>
      </w:r>
      <w:r w:rsidR="00452E9B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A71910" w:rsidRPr="00A71910">
        <w:rPr>
          <w:rFonts w:ascii="Times New Roman" w:hAnsi="Times New Roman" w:cs="Times New Roman"/>
          <w:sz w:val="24"/>
          <w:szCs w:val="24"/>
        </w:rPr>
        <w:t>.</w:t>
      </w:r>
    </w:p>
    <w:p w:rsidR="00A73D41" w:rsidRDefault="00005749" w:rsidP="00A73D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749">
        <w:rPr>
          <w:rFonts w:ascii="Times New Roman" w:hAnsi="Times New Roman" w:cs="Times New Roman"/>
          <w:b/>
          <w:sz w:val="28"/>
          <w:szCs w:val="28"/>
        </w:rPr>
        <w:t>Управление активами</w:t>
      </w:r>
    </w:p>
    <w:p w:rsidR="00A73D41" w:rsidRDefault="00A73D41" w:rsidP="00A73D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749" w:rsidRDefault="005B3957" w:rsidP="00587E09">
      <w:pPr>
        <w:spacing w:line="36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B706491" wp14:editId="7061B4AF">
            <wp:extent cx="7052310" cy="5383033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A73D41" w:rsidRPr="00BD4785" w:rsidRDefault="00A73D41" w:rsidP="00A73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785">
        <w:rPr>
          <w:rFonts w:ascii="Times New Roman" w:hAnsi="Times New Roman" w:cs="Times New Roman"/>
          <w:sz w:val="24"/>
          <w:szCs w:val="24"/>
          <w:u w:val="single"/>
        </w:rPr>
        <w:lastRenderedPageBreak/>
        <w:t>Средняя оценка</w:t>
      </w:r>
      <w:r w:rsidRPr="00BD4785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по группе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«Управление активами» по 34 оцениваемым ГРБС с </w:t>
      </w:r>
      <w:r w:rsidRPr="00942C5C">
        <w:rPr>
          <w:rFonts w:ascii="Times New Roman" w:hAnsi="Times New Roman" w:cs="Times New Roman"/>
          <w:sz w:val="24"/>
          <w:szCs w:val="24"/>
        </w:rPr>
        <w:t xml:space="preserve">учетом удельного веса показателей данной группы </w:t>
      </w:r>
      <w:r>
        <w:rPr>
          <w:rFonts w:ascii="Times New Roman" w:hAnsi="Times New Roman" w:cs="Times New Roman"/>
          <w:sz w:val="24"/>
          <w:szCs w:val="24"/>
        </w:rPr>
        <w:t>составила 52,9</w:t>
      </w:r>
      <w:r w:rsidRPr="00942C5C">
        <w:rPr>
          <w:rFonts w:ascii="Times New Roman" w:hAnsi="Times New Roman" w:cs="Times New Roman"/>
          <w:sz w:val="24"/>
          <w:szCs w:val="24"/>
        </w:rPr>
        <w:t xml:space="preserve"> балла по 100-балльной шкале.</w:t>
      </w:r>
    </w:p>
    <w:p w:rsidR="00A73D41" w:rsidRDefault="00A73D41" w:rsidP="00A73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ГРБС, или 50</w:t>
      </w:r>
      <w:r w:rsidRPr="00F429E3">
        <w:rPr>
          <w:rFonts w:ascii="Times New Roman" w:hAnsi="Times New Roman" w:cs="Times New Roman"/>
          <w:sz w:val="24"/>
          <w:szCs w:val="24"/>
        </w:rPr>
        <w:t xml:space="preserve"> % от оцениваемого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F429E3">
        <w:rPr>
          <w:rFonts w:ascii="Times New Roman" w:hAnsi="Times New Roman" w:cs="Times New Roman"/>
          <w:sz w:val="24"/>
          <w:szCs w:val="24"/>
        </w:rPr>
        <w:t xml:space="preserve">количества, имеют </w:t>
      </w:r>
      <w:r>
        <w:rPr>
          <w:rFonts w:ascii="Times New Roman" w:hAnsi="Times New Roman" w:cs="Times New Roman"/>
          <w:sz w:val="24"/>
          <w:szCs w:val="24"/>
        </w:rPr>
        <w:t xml:space="preserve">наивысшие </w:t>
      </w:r>
      <w:r w:rsidRPr="00F429E3">
        <w:rPr>
          <w:rFonts w:ascii="Times New Roman" w:hAnsi="Times New Roman" w:cs="Times New Roman"/>
          <w:sz w:val="24"/>
          <w:szCs w:val="24"/>
        </w:rPr>
        <w:t>оценки качества финансового менеджмента по группе по</w:t>
      </w:r>
      <w:r>
        <w:rPr>
          <w:rFonts w:ascii="Times New Roman" w:hAnsi="Times New Roman" w:cs="Times New Roman"/>
          <w:sz w:val="24"/>
          <w:szCs w:val="24"/>
        </w:rPr>
        <w:t>казателей «Управление активами».</w:t>
      </w:r>
    </w:p>
    <w:p w:rsidR="00A73D41" w:rsidRDefault="00A73D41" w:rsidP="00A73D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 ниже средней по данной группе показателей получили 17 ГРБС, или 50 %</w:t>
      </w:r>
      <w:r w:rsidRPr="009F0576">
        <w:rPr>
          <w:rFonts w:ascii="Times New Roman" w:hAnsi="Times New Roman" w:cs="Times New Roman"/>
          <w:sz w:val="24"/>
          <w:szCs w:val="24"/>
        </w:rPr>
        <w:t xml:space="preserve"> </w:t>
      </w:r>
      <w:r w:rsidRPr="00F429E3">
        <w:rPr>
          <w:rFonts w:ascii="Times New Roman" w:hAnsi="Times New Roman" w:cs="Times New Roman"/>
          <w:sz w:val="24"/>
          <w:szCs w:val="24"/>
        </w:rPr>
        <w:t>от оцениваемого количества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3D41" w:rsidRDefault="00A73D41" w:rsidP="00587E09">
      <w:pPr>
        <w:spacing w:line="360" w:lineRule="auto"/>
        <w:ind w:left="-1134"/>
        <w:jc w:val="both"/>
        <w:rPr>
          <w:rFonts w:ascii="Times New Roman" w:hAnsi="Times New Roman" w:cs="Times New Roman"/>
          <w:sz w:val="24"/>
          <w:szCs w:val="24"/>
        </w:rPr>
      </w:pPr>
    </w:p>
    <w:sectPr w:rsidR="00A73D41" w:rsidSect="007111FF">
      <w:headerReference w:type="default" r:id="rId17"/>
      <w:footerReference w:type="default" r:id="rId18"/>
      <w:type w:val="oddPage"/>
      <w:pgSz w:w="11906" w:h="16838" w:code="9"/>
      <w:pgMar w:top="1134" w:right="851" w:bottom="851" w:left="1701" w:header="510" w:footer="284" w:gutter="0"/>
      <w:pgNumType w:start="17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369" w:rsidRDefault="00584369" w:rsidP="00C44D5B">
      <w:pPr>
        <w:spacing w:after="0" w:line="240" w:lineRule="auto"/>
      </w:pPr>
      <w:r>
        <w:separator/>
      </w:r>
    </w:p>
  </w:endnote>
  <w:endnote w:type="continuationSeparator" w:id="0">
    <w:p w:rsidR="00584369" w:rsidRDefault="00584369" w:rsidP="00C4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826087"/>
      <w:docPartObj>
        <w:docPartGallery w:val="Page Numbers (Bottom of Page)"/>
        <w:docPartUnique/>
      </w:docPartObj>
    </w:sdtPr>
    <w:sdtEndPr/>
    <w:sdtContent>
      <w:p w:rsidR="007111FF" w:rsidRDefault="007111F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928">
          <w:rPr>
            <w:noProof/>
          </w:rPr>
          <w:t>1786</w:t>
        </w:r>
        <w:r>
          <w:fldChar w:fldCharType="end"/>
        </w:r>
      </w:p>
    </w:sdtContent>
  </w:sdt>
  <w:p w:rsidR="007111FF" w:rsidRDefault="007111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369" w:rsidRDefault="00584369" w:rsidP="00C44D5B">
      <w:pPr>
        <w:spacing w:after="0" w:line="240" w:lineRule="auto"/>
      </w:pPr>
      <w:r>
        <w:separator/>
      </w:r>
    </w:p>
  </w:footnote>
  <w:footnote w:type="continuationSeparator" w:id="0">
    <w:p w:rsidR="00584369" w:rsidRDefault="00584369" w:rsidP="00C44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067" w:rsidRPr="005202C1" w:rsidRDefault="00DA3067">
    <w:pPr>
      <w:pStyle w:val="a6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CAB"/>
    <w:multiLevelType w:val="hybridMultilevel"/>
    <w:tmpl w:val="F0384F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E87E25"/>
    <w:multiLevelType w:val="hybridMultilevel"/>
    <w:tmpl w:val="0BEA78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5608"/>
    <w:multiLevelType w:val="hybridMultilevel"/>
    <w:tmpl w:val="0856495A"/>
    <w:lvl w:ilvl="0" w:tplc="14AECE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477324"/>
    <w:multiLevelType w:val="hybridMultilevel"/>
    <w:tmpl w:val="C7443A10"/>
    <w:lvl w:ilvl="0" w:tplc="23F4A0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BAE5376"/>
    <w:multiLevelType w:val="hybridMultilevel"/>
    <w:tmpl w:val="9580B3E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7C1822"/>
    <w:multiLevelType w:val="hybridMultilevel"/>
    <w:tmpl w:val="62EA1B52"/>
    <w:lvl w:ilvl="0" w:tplc="19A06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2C2F7B"/>
    <w:multiLevelType w:val="hybridMultilevel"/>
    <w:tmpl w:val="6A861CF4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7" w15:restartNumberingAfterBreak="0">
    <w:nsid w:val="14B46894"/>
    <w:multiLevelType w:val="hybridMultilevel"/>
    <w:tmpl w:val="63E48106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" w15:restartNumberingAfterBreak="0">
    <w:nsid w:val="15BF643B"/>
    <w:multiLevelType w:val="hybridMultilevel"/>
    <w:tmpl w:val="0D8A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74F24"/>
    <w:multiLevelType w:val="hybridMultilevel"/>
    <w:tmpl w:val="A83CB1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16D1411"/>
    <w:multiLevelType w:val="hybridMultilevel"/>
    <w:tmpl w:val="A0B4AC26"/>
    <w:lvl w:ilvl="0" w:tplc="74A0C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417D34"/>
    <w:multiLevelType w:val="hybridMultilevel"/>
    <w:tmpl w:val="14E600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9B07340"/>
    <w:multiLevelType w:val="hybridMultilevel"/>
    <w:tmpl w:val="78E46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5608F"/>
    <w:multiLevelType w:val="hybridMultilevel"/>
    <w:tmpl w:val="3CC84D86"/>
    <w:lvl w:ilvl="0" w:tplc="EA4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E155A5"/>
    <w:multiLevelType w:val="hybridMultilevel"/>
    <w:tmpl w:val="CC78C2E0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5" w15:restartNumberingAfterBreak="0">
    <w:nsid w:val="32CD16C5"/>
    <w:multiLevelType w:val="hybridMultilevel"/>
    <w:tmpl w:val="5A8C2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987DB4"/>
    <w:multiLevelType w:val="hybridMultilevel"/>
    <w:tmpl w:val="54E8B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249EB"/>
    <w:multiLevelType w:val="hybridMultilevel"/>
    <w:tmpl w:val="5F886124"/>
    <w:lvl w:ilvl="0" w:tplc="774293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215ECA"/>
    <w:multiLevelType w:val="hybridMultilevel"/>
    <w:tmpl w:val="1BBC80A6"/>
    <w:lvl w:ilvl="0" w:tplc="35684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4A83303"/>
    <w:multiLevelType w:val="hybridMultilevel"/>
    <w:tmpl w:val="C95C801C"/>
    <w:lvl w:ilvl="0" w:tplc="96C0D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C12FB4"/>
    <w:multiLevelType w:val="hybridMultilevel"/>
    <w:tmpl w:val="E7EAC2A6"/>
    <w:lvl w:ilvl="0" w:tplc="B3FA1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E347408"/>
    <w:multiLevelType w:val="hybridMultilevel"/>
    <w:tmpl w:val="75EE9B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F5F23C6"/>
    <w:multiLevelType w:val="hybridMultilevel"/>
    <w:tmpl w:val="8E3C1662"/>
    <w:lvl w:ilvl="0" w:tplc="966E9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0C02E81"/>
    <w:multiLevelType w:val="hybridMultilevel"/>
    <w:tmpl w:val="74AED6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0EE6E83"/>
    <w:multiLevelType w:val="hybridMultilevel"/>
    <w:tmpl w:val="F3E89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302F7"/>
    <w:multiLevelType w:val="hybridMultilevel"/>
    <w:tmpl w:val="CA7E0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93E61B4"/>
    <w:multiLevelType w:val="hybridMultilevel"/>
    <w:tmpl w:val="1EDC6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B778F"/>
    <w:multiLevelType w:val="hybridMultilevel"/>
    <w:tmpl w:val="047C423C"/>
    <w:lvl w:ilvl="0" w:tplc="E28240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BC9710F"/>
    <w:multiLevelType w:val="hybridMultilevel"/>
    <w:tmpl w:val="2D56B09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BCF5CB6"/>
    <w:multiLevelType w:val="hybridMultilevel"/>
    <w:tmpl w:val="D57447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C560CB7"/>
    <w:multiLevelType w:val="hybridMultilevel"/>
    <w:tmpl w:val="90B04010"/>
    <w:lvl w:ilvl="0" w:tplc="BC0E12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1B056F0"/>
    <w:multiLevelType w:val="hybridMultilevel"/>
    <w:tmpl w:val="EE420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DD5D2D"/>
    <w:multiLevelType w:val="hybridMultilevel"/>
    <w:tmpl w:val="B44A2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8D74DB2"/>
    <w:multiLevelType w:val="hybridMultilevel"/>
    <w:tmpl w:val="9B06D452"/>
    <w:lvl w:ilvl="0" w:tplc="F52C62A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51126"/>
    <w:multiLevelType w:val="hybridMultilevel"/>
    <w:tmpl w:val="442A56B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607DD4"/>
    <w:multiLevelType w:val="hybridMultilevel"/>
    <w:tmpl w:val="E1701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9174A"/>
    <w:multiLevelType w:val="hybridMultilevel"/>
    <w:tmpl w:val="3A6814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36D76E0"/>
    <w:multiLevelType w:val="hybridMultilevel"/>
    <w:tmpl w:val="17625E80"/>
    <w:lvl w:ilvl="0" w:tplc="EC9468DC">
      <w:start w:val="4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8" w15:restartNumberingAfterBreak="0">
    <w:nsid w:val="73C633EA"/>
    <w:multiLevelType w:val="hybridMultilevel"/>
    <w:tmpl w:val="AFBE924E"/>
    <w:lvl w:ilvl="0" w:tplc="5F1AF0E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0B17F7"/>
    <w:multiLevelType w:val="hybridMultilevel"/>
    <w:tmpl w:val="1CFEB2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5406047"/>
    <w:multiLevelType w:val="hybridMultilevel"/>
    <w:tmpl w:val="B9162352"/>
    <w:lvl w:ilvl="0" w:tplc="891A5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60F60DC"/>
    <w:multiLevelType w:val="hybridMultilevel"/>
    <w:tmpl w:val="C6E6EDA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EBB2105"/>
    <w:multiLevelType w:val="hybridMultilevel"/>
    <w:tmpl w:val="F85687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EE31484"/>
    <w:multiLevelType w:val="hybridMultilevel"/>
    <w:tmpl w:val="B7FE3C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0"/>
  </w:num>
  <w:num w:numId="3">
    <w:abstractNumId w:val="11"/>
  </w:num>
  <w:num w:numId="4">
    <w:abstractNumId w:val="24"/>
  </w:num>
  <w:num w:numId="5">
    <w:abstractNumId w:val="8"/>
  </w:num>
  <w:num w:numId="6">
    <w:abstractNumId w:val="12"/>
  </w:num>
  <w:num w:numId="7">
    <w:abstractNumId w:val="18"/>
  </w:num>
  <w:num w:numId="8">
    <w:abstractNumId w:val="29"/>
  </w:num>
  <w:num w:numId="9">
    <w:abstractNumId w:val="37"/>
  </w:num>
  <w:num w:numId="10">
    <w:abstractNumId w:val="26"/>
  </w:num>
  <w:num w:numId="11">
    <w:abstractNumId w:val="14"/>
  </w:num>
  <w:num w:numId="12">
    <w:abstractNumId w:val="35"/>
  </w:num>
  <w:num w:numId="13">
    <w:abstractNumId w:val="23"/>
  </w:num>
  <w:num w:numId="14">
    <w:abstractNumId w:val="33"/>
  </w:num>
  <w:num w:numId="15">
    <w:abstractNumId w:val="38"/>
  </w:num>
  <w:num w:numId="16">
    <w:abstractNumId w:val="6"/>
  </w:num>
  <w:num w:numId="17">
    <w:abstractNumId w:val="27"/>
  </w:num>
  <w:num w:numId="18">
    <w:abstractNumId w:val="40"/>
  </w:num>
  <w:num w:numId="19">
    <w:abstractNumId w:val="4"/>
  </w:num>
  <w:num w:numId="20">
    <w:abstractNumId w:val="5"/>
  </w:num>
  <w:num w:numId="21">
    <w:abstractNumId w:val="10"/>
  </w:num>
  <w:num w:numId="22">
    <w:abstractNumId w:val="3"/>
  </w:num>
  <w:num w:numId="23">
    <w:abstractNumId w:val="19"/>
  </w:num>
  <w:num w:numId="24">
    <w:abstractNumId w:val="9"/>
  </w:num>
  <w:num w:numId="25">
    <w:abstractNumId w:val="42"/>
  </w:num>
  <w:num w:numId="26">
    <w:abstractNumId w:val="22"/>
  </w:num>
  <w:num w:numId="27">
    <w:abstractNumId w:val="13"/>
  </w:num>
  <w:num w:numId="28">
    <w:abstractNumId w:val="28"/>
  </w:num>
  <w:num w:numId="29">
    <w:abstractNumId w:val="31"/>
  </w:num>
  <w:num w:numId="30">
    <w:abstractNumId w:val="39"/>
  </w:num>
  <w:num w:numId="31">
    <w:abstractNumId w:val="15"/>
  </w:num>
  <w:num w:numId="32">
    <w:abstractNumId w:val="7"/>
  </w:num>
  <w:num w:numId="33">
    <w:abstractNumId w:val="36"/>
  </w:num>
  <w:num w:numId="34">
    <w:abstractNumId w:val="32"/>
  </w:num>
  <w:num w:numId="35">
    <w:abstractNumId w:val="17"/>
  </w:num>
  <w:num w:numId="36">
    <w:abstractNumId w:val="2"/>
  </w:num>
  <w:num w:numId="37">
    <w:abstractNumId w:val="20"/>
  </w:num>
  <w:num w:numId="38">
    <w:abstractNumId w:val="34"/>
  </w:num>
  <w:num w:numId="39">
    <w:abstractNumId w:val="0"/>
  </w:num>
  <w:num w:numId="40">
    <w:abstractNumId w:val="16"/>
  </w:num>
  <w:num w:numId="41">
    <w:abstractNumId w:val="43"/>
  </w:num>
  <w:num w:numId="42">
    <w:abstractNumId w:val="41"/>
  </w:num>
  <w:num w:numId="43">
    <w:abstractNumId w:val="21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0B"/>
    <w:rsid w:val="000003B1"/>
    <w:rsid w:val="00000576"/>
    <w:rsid w:val="00001867"/>
    <w:rsid w:val="0000198A"/>
    <w:rsid w:val="00003100"/>
    <w:rsid w:val="00003E10"/>
    <w:rsid w:val="00005481"/>
    <w:rsid w:val="00005749"/>
    <w:rsid w:val="000065A7"/>
    <w:rsid w:val="0000698E"/>
    <w:rsid w:val="00006A4E"/>
    <w:rsid w:val="00010B5B"/>
    <w:rsid w:val="0001141D"/>
    <w:rsid w:val="000121E7"/>
    <w:rsid w:val="000129F0"/>
    <w:rsid w:val="00012D73"/>
    <w:rsid w:val="0001303A"/>
    <w:rsid w:val="000134A4"/>
    <w:rsid w:val="000137E5"/>
    <w:rsid w:val="00013B74"/>
    <w:rsid w:val="0001528B"/>
    <w:rsid w:val="00015CB1"/>
    <w:rsid w:val="000168C4"/>
    <w:rsid w:val="0001701C"/>
    <w:rsid w:val="00021F96"/>
    <w:rsid w:val="00022469"/>
    <w:rsid w:val="00022A3D"/>
    <w:rsid w:val="00022DD6"/>
    <w:rsid w:val="00024887"/>
    <w:rsid w:val="00025D60"/>
    <w:rsid w:val="0002766D"/>
    <w:rsid w:val="00030D52"/>
    <w:rsid w:val="000347F7"/>
    <w:rsid w:val="00035860"/>
    <w:rsid w:val="00037094"/>
    <w:rsid w:val="00037BD0"/>
    <w:rsid w:val="000404C2"/>
    <w:rsid w:val="000419AE"/>
    <w:rsid w:val="00041CC8"/>
    <w:rsid w:val="00043602"/>
    <w:rsid w:val="0004371B"/>
    <w:rsid w:val="00044876"/>
    <w:rsid w:val="00046E45"/>
    <w:rsid w:val="0004743E"/>
    <w:rsid w:val="00047440"/>
    <w:rsid w:val="00050C55"/>
    <w:rsid w:val="000542E1"/>
    <w:rsid w:val="0005547C"/>
    <w:rsid w:val="000567D0"/>
    <w:rsid w:val="00057182"/>
    <w:rsid w:val="0005794C"/>
    <w:rsid w:val="00057D2D"/>
    <w:rsid w:val="00065CA6"/>
    <w:rsid w:val="00065DBB"/>
    <w:rsid w:val="00066AAF"/>
    <w:rsid w:val="0006795C"/>
    <w:rsid w:val="000679F8"/>
    <w:rsid w:val="00067BDA"/>
    <w:rsid w:val="000746E3"/>
    <w:rsid w:val="00074DED"/>
    <w:rsid w:val="00076F5F"/>
    <w:rsid w:val="000806E4"/>
    <w:rsid w:val="0008132D"/>
    <w:rsid w:val="00081B81"/>
    <w:rsid w:val="0008402E"/>
    <w:rsid w:val="0008471A"/>
    <w:rsid w:val="00087217"/>
    <w:rsid w:val="00087978"/>
    <w:rsid w:val="0009251A"/>
    <w:rsid w:val="00093069"/>
    <w:rsid w:val="00095FEA"/>
    <w:rsid w:val="000977A3"/>
    <w:rsid w:val="000A0531"/>
    <w:rsid w:val="000A1543"/>
    <w:rsid w:val="000A25C0"/>
    <w:rsid w:val="000A2914"/>
    <w:rsid w:val="000A3E2A"/>
    <w:rsid w:val="000A5840"/>
    <w:rsid w:val="000A5BFB"/>
    <w:rsid w:val="000A60BA"/>
    <w:rsid w:val="000A750E"/>
    <w:rsid w:val="000A7539"/>
    <w:rsid w:val="000B0D57"/>
    <w:rsid w:val="000B1379"/>
    <w:rsid w:val="000B144B"/>
    <w:rsid w:val="000B52BE"/>
    <w:rsid w:val="000B5F86"/>
    <w:rsid w:val="000B6581"/>
    <w:rsid w:val="000B73BD"/>
    <w:rsid w:val="000C255A"/>
    <w:rsid w:val="000C390B"/>
    <w:rsid w:val="000C7862"/>
    <w:rsid w:val="000C787B"/>
    <w:rsid w:val="000D2BFF"/>
    <w:rsid w:val="000D319F"/>
    <w:rsid w:val="000D3337"/>
    <w:rsid w:val="000D4625"/>
    <w:rsid w:val="000D52DC"/>
    <w:rsid w:val="000E0861"/>
    <w:rsid w:val="000E25FB"/>
    <w:rsid w:val="000E45D2"/>
    <w:rsid w:val="000E4AD5"/>
    <w:rsid w:val="000E5F25"/>
    <w:rsid w:val="000F1384"/>
    <w:rsid w:val="000F4A34"/>
    <w:rsid w:val="000F5219"/>
    <w:rsid w:val="0010037B"/>
    <w:rsid w:val="001017BC"/>
    <w:rsid w:val="00103237"/>
    <w:rsid w:val="001065E0"/>
    <w:rsid w:val="0011035F"/>
    <w:rsid w:val="00110ABD"/>
    <w:rsid w:val="001130A0"/>
    <w:rsid w:val="0011397C"/>
    <w:rsid w:val="00113DED"/>
    <w:rsid w:val="00114616"/>
    <w:rsid w:val="00114D29"/>
    <w:rsid w:val="00115A5C"/>
    <w:rsid w:val="0011723A"/>
    <w:rsid w:val="001206D2"/>
    <w:rsid w:val="0013092A"/>
    <w:rsid w:val="00131DD9"/>
    <w:rsid w:val="00132863"/>
    <w:rsid w:val="00133937"/>
    <w:rsid w:val="001347A3"/>
    <w:rsid w:val="00134D81"/>
    <w:rsid w:val="00134DAD"/>
    <w:rsid w:val="00135F37"/>
    <w:rsid w:val="00135F96"/>
    <w:rsid w:val="00137A1A"/>
    <w:rsid w:val="001417AA"/>
    <w:rsid w:val="00144ECC"/>
    <w:rsid w:val="00145077"/>
    <w:rsid w:val="001458A0"/>
    <w:rsid w:val="00145D64"/>
    <w:rsid w:val="00145F7B"/>
    <w:rsid w:val="001460DD"/>
    <w:rsid w:val="00152173"/>
    <w:rsid w:val="001521C0"/>
    <w:rsid w:val="001525FF"/>
    <w:rsid w:val="0015292F"/>
    <w:rsid w:val="00152A72"/>
    <w:rsid w:val="00153F0A"/>
    <w:rsid w:val="001553A7"/>
    <w:rsid w:val="00157550"/>
    <w:rsid w:val="001576FC"/>
    <w:rsid w:val="0016266E"/>
    <w:rsid w:val="001626AB"/>
    <w:rsid w:val="00163005"/>
    <w:rsid w:val="00163210"/>
    <w:rsid w:val="001669F4"/>
    <w:rsid w:val="00166EEE"/>
    <w:rsid w:val="00170793"/>
    <w:rsid w:val="001707FB"/>
    <w:rsid w:val="00170917"/>
    <w:rsid w:val="00171C27"/>
    <w:rsid w:val="001724CD"/>
    <w:rsid w:val="00174238"/>
    <w:rsid w:val="00174DEE"/>
    <w:rsid w:val="00175DA0"/>
    <w:rsid w:val="001768D3"/>
    <w:rsid w:val="00176F6B"/>
    <w:rsid w:val="0018060E"/>
    <w:rsid w:val="001879E6"/>
    <w:rsid w:val="001908C4"/>
    <w:rsid w:val="00190A9F"/>
    <w:rsid w:val="001912C9"/>
    <w:rsid w:val="0019244D"/>
    <w:rsid w:val="00192AAE"/>
    <w:rsid w:val="00193502"/>
    <w:rsid w:val="00193D71"/>
    <w:rsid w:val="00194C96"/>
    <w:rsid w:val="001978EB"/>
    <w:rsid w:val="001978F6"/>
    <w:rsid w:val="00197B4F"/>
    <w:rsid w:val="00197CCD"/>
    <w:rsid w:val="00197EB4"/>
    <w:rsid w:val="001A15DB"/>
    <w:rsid w:val="001A38D1"/>
    <w:rsid w:val="001A408C"/>
    <w:rsid w:val="001A5F92"/>
    <w:rsid w:val="001B203C"/>
    <w:rsid w:val="001B233C"/>
    <w:rsid w:val="001B4C6E"/>
    <w:rsid w:val="001B7EAF"/>
    <w:rsid w:val="001C0AA3"/>
    <w:rsid w:val="001C2338"/>
    <w:rsid w:val="001C3567"/>
    <w:rsid w:val="001C38F7"/>
    <w:rsid w:val="001C4AC0"/>
    <w:rsid w:val="001C63D6"/>
    <w:rsid w:val="001C6826"/>
    <w:rsid w:val="001D031E"/>
    <w:rsid w:val="001D272C"/>
    <w:rsid w:val="001D4299"/>
    <w:rsid w:val="001D5409"/>
    <w:rsid w:val="001E0906"/>
    <w:rsid w:val="001E25E4"/>
    <w:rsid w:val="001E2BB6"/>
    <w:rsid w:val="001E49E7"/>
    <w:rsid w:val="001E4D13"/>
    <w:rsid w:val="001E737A"/>
    <w:rsid w:val="001E7887"/>
    <w:rsid w:val="001F27A1"/>
    <w:rsid w:val="001F3128"/>
    <w:rsid w:val="001F4365"/>
    <w:rsid w:val="001F58FA"/>
    <w:rsid w:val="001F5CD7"/>
    <w:rsid w:val="001F61A3"/>
    <w:rsid w:val="00200747"/>
    <w:rsid w:val="00200E9D"/>
    <w:rsid w:val="00200F0A"/>
    <w:rsid w:val="00203DD4"/>
    <w:rsid w:val="00206AAE"/>
    <w:rsid w:val="002100B6"/>
    <w:rsid w:val="00210217"/>
    <w:rsid w:val="0021098B"/>
    <w:rsid w:val="002121D8"/>
    <w:rsid w:val="00213FF0"/>
    <w:rsid w:val="002142AE"/>
    <w:rsid w:val="00214CC9"/>
    <w:rsid w:val="002155EA"/>
    <w:rsid w:val="002175F5"/>
    <w:rsid w:val="00217D7E"/>
    <w:rsid w:val="00222A34"/>
    <w:rsid w:val="00225EDA"/>
    <w:rsid w:val="0022680F"/>
    <w:rsid w:val="002269D1"/>
    <w:rsid w:val="0022715B"/>
    <w:rsid w:val="0023216B"/>
    <w:rsid w:val="00235602"/>
    <w:rsid w:val="002373AE"/>
    <w:rsid w:val="00237567"/>
    <w:rsid w:val="00240971"/>
    <w:rsid w:val="002409BF"/>
    <w:rsid w:val="00241002"/>
    <w:rsid w:val="00242C97"/>
    <w:rsid w:val="002443C5"/>
    <w:rsid w:val="00244910"/>
    <w:rsid w:val="0024575B"/>
    <w:rsid w:val="00246140"/>
    <w:rsid w:val="00246E71"/>
    <w:rsid w:val="0024776D"/>
    <w:rsid w:val="00247F36"/>
    <w:rsid w:val="002514A0"/>
    <w:rsid w:val="0025152F"/>
    <w:rsid w:val="002515FA"/>
    <w:rsid w:val="00253483"/>
    <w:rsid w:val="00255E96"/>
    <w:rsid w:val="002563E5"/>
    <w:rsid w:val="00257EDB"/>
    <w:rsid w:val="002606E6"/>
    <w:rsid w:val="00260E8A"/>
    <w:rsid w:val="00261869"/>
    <w:rsid w:val="0026260B"/>
    <w:rsid w:val="00262932"/>
    <w:rsid w:val="002648BE"/>
    <w:rsid w:val="0026696B"/>
    <w:rsid w:val="00266EAD"/>
    <w:rsid w:val="0026738A"/>
    <w:rsid w:val="00267942"/>
    <w:rsid w:val="00267F4C"/>
    <w:rsid w:val="00272270"/>
    <w:rsid w:val="00274A7D"/>
    <w:rsid w:val="002754AE"/>
    <w:rsid w:val="002757C3"/>
    <w:rsid w:val="00276DD0"/>
    <w:rsid w:val="00277036"/>
    <w:rsid w:val="00277278"/>
    <w:rsid w:val="00280588"/>
    <w:rsid w:val="002818D8"/>
    <w:rsid w:val="00282963"/>
    <w:rsid w:val="00282E22"/>
    <w:rsid w:val="00283A92"/>
    <w:rsid w:val="00284CBD"/>
    <w:rsid w:val="00284D7B"/>
    <w:rsid w:val="00285954"/>
    <w:rsid w:val="002861BD"/>
    <w:rsid w:val="00286468"/>
    <w:rsid w:val="0028658E"/>
    <w:rsid w:val="002869DF"/>
    <w:rsid w:val="00286BD9"/>
    <w:rsid w:val="0028729E"/>
    <w:rsid w:val="002878ED"/>
    <w:rsid w:val="00287F2D"/>
    <w:rsid w:val="00291F5C"/>
    <w:rsid w:val="002957B6"/>
    <w:rsid w:val="00295EE4"/>
    <w:rsid w:val="002960E4"/>
    <w:rsid w:val="002965E9"/>
    <w:rsid w:val="00297467"/>
    <w:rsid w:val="00297C22"/>
    <w:rsid w:val="002A124C"/>
    <w:rsid w:val="002A19DA"/>
    <w:rsid w:val="002A3119"/>
    <w:rsid w:val="002A4BCF"/>
    <w:rsid w:val="002A708C"/>
    <w:rsid w:val="002B01E7"/>
    <w:rsid w:val="002B0525"/>
    <w:rsid w:val="002B0CF1"/>
    <w:rsid w:val="002B1146"/>
    <w:rsid w:val="002B1C52"/>
    <w:rsid w:val="002B348E"/>
    <w:rsid w:val="002B6B43"/>
    <w:rsid w:val="002C0015"/>
    <w:rsid w:val="002C009B"/>
    <w:rsid w:val="002C2FFB"/>
    <w:rsid w:val="002C39AD"/>
    <w:rsid w:val="002C414E"/>
    <w:rsid w:val="002C462F"/>
    <w:rsid w:val="002C497C"/>
    <w:rsid w:val="002C4D5F"/>
    <w:rsid w:val="002C4D9E"/>
    <w:rsid w:val="002C688E"/>
    <w:rsid w:val="002C6A40"/>
    <w:rsid w:val="002C7144"/>
    <w:rsid w:val="002C7F39"/>
    <w:rsid w:val="002D2D66"/>
    <w:rsid w:val="002D304E"/>
    <w:rsid w:val="002D3203"/>
    <w:rsid w:val="002D768A"/>
    <w:rsid w:val="002D7B61"/>
    <w:rsid w:val="002D7E85"/>
    <w:rsid w:val="002D7FF5"/>
    <w:rsid w:val="002E025D"/>
    <w:rsid w:val="002E0A2B"/>
    <w:rsid w:val="002E0A55"/>
    <w:rsid w:val="002E1DD6"/>
    <w:rsid w:val="002E548C"/>
    <w:rsid w:val="002E57E0"/>
    <w:rsid w:val="002E70F4"/>
    <w:rsid w:val="002E74BF"/>
    <w:rsid w:val="002F2DE5"/>
    <w:rsid w:val="002F39CB"/>
    <w:rsid w:val="002F52D5"/>
    <w:rsid w:val="002F556B"/>
    <w:rsid w:val="002F5BCA"/>
    <w:rsid w:val="002F5CE8"/>
    <w:rsid w:val="002F62E9"/>
    <w:rsid w:val="003006EB"/>
    <w:rsid w:val="00301724"/>
    <w:rsid w:val="00301FCC"/>
    <w:rsid w:val="00302F1C"/>
    <w:rsid w:val="00304924"/>
    <w:rsid w:val="00305E10"/>
    <w:rsid w:val="003101F6"/>
    <w:rsid w:val="0031285F"/>
    <w:rsid w:val="00313661"/>
    <w:rsid w:val="0031646D"/>
    <w:rsid w:val="00316629"/>
    <w:rsid w:val="0031742A"/>
    <w:rsid w:val="0032232D"/>
    <w:rsid w:val="00323AEF"/>
    <w:rsid w:val="003252BD"/>
    <w:rsid w:val="003253E7"/>
    <w:rsid w:val="00325B32"/>
    <w:rsid w:val="00325CB7"/>
    <w:rsid w:val="00326019"/>
    <w:rsid w:val="003269E1"/>
    <w:rsid w:val="00326D3C"/>
    <w:rsid w:val="00327FE9"/>
    <w:rsid w:val="0033112C"/>
    <w:rsid w:val="003317C7"/>
    <w:rsid w:val="0033290D"/>
    <w:rsid w:val="00332AE2"/>
    <w:rsid w:val="00333191"/>
    <w:rsid w:val="003352E8"/>
    <w:rsid w:val="003357C8"/>
    <w:rsid w:val="00336231"/>
    <w:rsid w:val="0034034B"/>
    <w:rsid w:val="00341FE2"/>
    <w:rsid w:val="003428B9"/>
    <w:rsid w:val="00350EC0"/>
    <w:rsid w:val="00351B29"/>
    <w:rsid w:val="00353170"/>
    <w:rsid w:val="0035337E"/>
    <w:rsid w:val="0035565B"/>
    <w:rsid w:val="00356377"/>
    <w:rsid w:val="00357305"/>
    <w:rsid w:val="00360BE2"/>
    <w:rsid w:val="003634FB"/>
    <w:rsid w:val="0036423B"/>
    <w:rsid w:val="00365958"/>
    <w:rsid w:val="00366DF1"/>
    <w:rsid w:val="003736C5"/>
    <w:rsid w:val="00375518"/>
    <w:rsid w:val="003775D4"/>
    <w:rsid w:val="00380429"/>
    <w:rsid w:val="0038089E"/>
    <w:rsid w:val="00380C83"/>
    <w:rsid w:val="0038112B"/>
    <w:rsid w:val="0038205A"/>
    <w:rsid w:val="00383638"/>
    <w:rsid w:val="0038478A"/>
    <w:rsid w:val="00384B61"/>
    <w:rsid w:val="00384B8A"/>
    <w:rsid w:val="00390D17"/>
    <w:rsid w:val="0039122E"/>
    <w:rsid w:val="00391B40"/>
    <w:rsid w:val="0039252D"/>
    <w:rsid w:val="003928B8"/>
    <w:rsid w:val="003955CA"/>
    <w:rsid w:val="00395CB3"/>
    <w:rsid w:val="0039600A"/>
    <w:rsid w:val="003A2752"/>
    <w:rsid w:val="003A39EC"/>
    <w:rsid w:val="003A6453"/>
    <w:rsid w:val="003A76F1"/>
    <w:rsid w:val="003A79CA"/>
    <w:rsid w:val="003B0849"/>
    <w:rsid w:val="003B12F4"/>
    <w:rsid w:val="003B2159"/>
    <w:rsid w:val="003B2944"/>
    <w:rsid w:val="003B3E93"/>
    <w:rsid w:val="003B5845"/>
    <w:rsid w:val="003B5FC2"/>
    <w:rsid w:val="003B6500"/>
    <w:rsid w:val="003B7FD4"/>
    <w:rsid w:val="003C11CF"/>
    <w:rsid w:val="003C3F11"/>
    <w:rsid w:val="003C4ACB"/>
    <w:rsid w:val="003C77FE"/>
    <w:rsid w:val="003D072D"/>
    <w:rsid w:val="003D0D62"/>
    <w:rsid w:val="003D650D"/>
    <w:rsid w:val="003D6570"/>
    <w:rsid w:val="003E1682"/>
    <w:rsid w:val="003E1C47"/>
    <w:rsid w:val="003E371F"/>
    <w:rsid w:val="003E3A94"/>
    <w:rsid w:val="003E5460"/>
    <w:rsid w:val="003E5D40"/>
    <w:rsid w:val="003E5F63"/>
    <w:rsid w:val="003E613C"/>
    <w:rsid w:val="003E651B"/>
    <w:rsid w:val="003E798C"/>
    <w:rsid w:val="003F0EFD"/>
    <w:rsid w:val="003F2809"/>
    <w:rsid w:val="003F29A6"/>
    <w:rsid w:val="003F2E42"/>
    <w:rsid w:val="003F6201"/>
    <w:rsid w:val="003F7D83"/>
    <w:rsid w:val="004038F0"/>
    <w:rsid w:val="0040553F"/>
    <w:rsid w:val="004139DF"/>
    <w:rsid w:val="00414737"/>
    <w:rsid w:val="00415397"/>
    <w:rsid w:val="00417B3B"/>
    <w:rsid w:val="00417BF3"/>
    <w:rsid w:val="00421C63"/>
    <w:rsid w:val="0042217E"/>
    <w:rsid w:val="00422AA4"/>
    <w:rsid w:val="004242B0"/>
    <w:rsid w:val="00424848"/>
    <w:rsid w:val="00425C0E"/>
    <w:rsid w:val="00426CFB"/>
    <w:rsid w:val="00426EFE"/>
    <w:rsid w:val="00427958"/>
    <w:rsid w:val="00434841"/>
    <w:rsid w:val="00435225"/>
    <w:rsid w:val="004355A1"/>
    <w:rsid w:val="0043743C"/>
    <w:rsid w:val="00443313"/>
    <w:rsid w:val="00444CDB"/>
    <w:rsid w:val="00445690"/>
    <w:rsid w:val="0044600D"/>
    <w:rsid w:val="00450242"/>
    <w:rsid w:val="0045259B"/>
    <w:rsid w:val="00452E9B"/>
    <w:rsid w:val="004548C9"/>
    <w:rsid w:val="00455210"/>
    <w:rsid w:val="00455EB5"/>
    <w:rsid w:val="00456987"/>
    <w:rsid w:val="00457709"/>
    <w:rsid w:val="00462125"/>
    <w:rsid w:val="00462FB8"/>
    <w:rsid w:val="00463351"/>
    <w:rsid w:val="00463FF2"/>
    <w:rsid w:val="00464D7C"/>
    <w:rsid w:val="00465294"/>
    <w:rsid w:val="00465BB9"/>
    <w:rsid w:val="00467808"/>
    <w:rsid w:val="00470D04"/>
    <w:rsid w:val="00471812"/>
    <w:rsid w:val="004735FA"/>
    <w:rsid w:val="00474CF2"/>
    <w:rsid w:val="00475054"/>
    <w:rsid w:val="00477650"/>
    <w:rsid w:val="00480D3D"/>
    <w:rsid w:val="00483C32"/>
    <w:rsid w:val="004861F5"/>
    <w:rsid w:val="00486701"/>
    <w:rsid w:val="00491BE5"/>
    <w:rsid w:val="004923DE"/>
    <w:rsid w:val="0049282D"/>
    <w:rsid w:val="00494063"/>
    <w:rsid w:val="004945E9"/>
    <w:rsid w:val="00495978"/>
    <w:rsid w:val="004966CB"/>
    <w:rsid w:val="00496B26"/>
    <w:rsid w:val="00497268"/>
    <w:rsid w:val="004A0759"/>
    <w:rsid w:val="004A328F"/>
    <w:rsid w:val="004A48BD"/>
    <w:rsid w:val="004A4A65"/>
    <w:rsid w:val="004A58E1"/>
    <w:rsid w:val="004A6C44"/>
    <w:rsid w:val="004A6E1B"/>
    <w:rsid w:val="004B049E"/>
    <w:rsid w:val="004B1407"/>
    <w:rsid w:val="004B1B5F"/>
    <w:rsid w:val="004B2320"/>
    <w:rsid w:val="004B292F"/>
    <w:rsid w:val="004B3446"/>
    <w:rsid w:val="004B34D0"/>
    <w:rsid w:val="004B4862"/>
    <w:rsid w:val="004B505C"/>
    <w:rsid w:val="004B52A9"/>
    <w:rsid w:val="004B6388"/>
    <w:rsid w:val="004B64CD"/>
    <w:rsid w:val="004B6ADD"/>
    <w:rsid w:val="004B6C8E"/>
    <w:rsid w:val="004C0ED1"/>
    <w:rsid w:val="004C16C3"/>
    <w:rsid w:val="004C2359"/>
    <w:rsid w:val="004C2666"/>
    <w:rsid w:val="004C2E89"/>
    <w:rsid w:val="004C333B"/>
    <w:rsid w:val="004C4B87"/>
    <w:rsid w:val="004C4BCC"/>
    <w:rsid w:val="004C69E7"/>
    <w:rsid w:val="004C6F0D"/>
    <w:rsid w:val="004D0BB3"/>
    <w:rsid w:val="004D16B3"/>
    <w:rsid w:val="004D2769"/>
    <w:rsid w:val="004D3302"/>
    <w:rsid w:val="004D3F26"/>
    <w:rsid w:val="004D4714"/>
    <w:rsid w:val="004E1737"/>
    <w:rsid w:val="004E1D3D"/>
    <w:rsid w:val="004E25B7"/>
    <w:rsid w:val="004E27BD"/>
    <w:rsid w:val="004E2DC4"/>
    <w:rsid w:val="004E3A18"/>
    <w:rsid w:val="004E7451"/>
    <w:rsid w:val="004E777E"/>
    <w:rsid w:val="004F04F1"/>
    <w:rsid w:val="004F3E8D"/>
    <w:rsid w:val="004F4067"/>
    <w:rsid w:val="004F4938"/>
    <w:rsid w:val="004F49BF"/>
    <w:rsid w:val="004F4D6B"/>
    <w:rsid w:val="004F5159"/>
    <w:rsid w:val="004F6587"/>
    <w:rsid w:val="00501F37"/>
    <w:rsid w:val="00503181"/>
    <w:rsid w:val="0050429C"/>
    <w:rsid w:val="0050441D"/>
    <w:rsid w:val="005047D2"/>
    <w:rsid w:val="00504D44"/>
    <w:rsid w:val="00507DC2"/>
    <w:rsid w:val="0051046A"/>
    <w:rsid w:val="005105A6"/>
    <w:rsid w:val="00511E38"/>
    <w:rsid w:val="0051571E"/>
    <w:rsid w:val="005176E2"/>
    <w:rsid w:val="005202C1"/>
    <w:rsid w:val="00520A23"/>
    <w:rsid w:val="00521057"/>
    <w:rsid w:val="0052161F"/>
    <w:rsid w:val="00521CEE"/>
    <w:rsid w:val="00523E67"/>
    <w:rsid w:val="00524A77"/>
    <w:rsid w:val="00524EE2"/>
    <w:rsid w:val="00525061"/>
    <w:rsid w:val="00526F2E"/>
    <w:rsid w:val="00526F82"/>
    <w:rsid w:val="00530DD1"/>
    <w:rsid w:val="00535E6B"/>
    <w:rsid w:val="00536FEB"/>
    <w:rsid w:val="0053748A"/>
    <w:rsid w:val="0054094D"/>
    <w:rsid w:val="00542361"/>
    <w:rsid w:val="0054378B"/>
    <w:rsid w:val="00544FB0"/>
    <w:rsid w:val="005530F6"/>
    <w:rsid w:val="0055350D"/>
    <w:rsid w:val="00553733"/>
    <w:rsid w:val="00556A22"/>
    <w:rsid w:val="00557666"/>
    <w:rsid w:val="005617C9"/>
    <w:rsid w:val="005639A1"/>
    <w:rsid w:val="00563CE5"/>
    <w:rsid w:val="00563E34"/>
    <w:rsid w:val="00563E5C"/>
    <w:rsid w:val="0056782F"/>
    <w:rsid w:val="00570197"/>
    <w:rsid w:val="0057036D"/>
    <w:rsid w:val="0057086E"/>
    <w:rsid w:val="0057321F"/>
    <w:rsid w:val="0057397C"/>
    <w:rsid w:val="00573D36"/>
    <w:rsid w:val="00575CFC"/>
    <w:rsid w:val="00576709"/>
    <w:rsid w:val="005808B0"/>
    <w:rsid w:val="00580928"/>
    <w:rsid w:val="005812F9"/>
    <w:rsid w:val="0058301C"/>
    <w:rsid w:val="00584369"/>
    <w:rsid w:val="005865AE"/>
    <w:rsid w:val="0058743E"/>
    <w:rsid w:val="005879B2"/>
    <w:rsid w:val="00587E09"/>
    <w:rsid w:val="005902D0"/>
    <w:rsid w:val="00592D31"/>
    <w:rsid w:val="005938A3"/>
    <w:rsid w:val="00594D62"/>
    <w:rsid w:val="00595B04"/>
    <w:rsid w:val="00596BEA"/>
    <w:rsid w:val="00597557"/>
    <w:rsid w:val="00597629"/>
    <w:rsid w:val="005A0B9B"/>
    <w:rsid w:val="005A0EF9"/>
    <w:rsid w:val="005A32B5"/>
    <w:rsid w:val="005B034F"/>
    <w:rsid w:val="005B19D8"/>
    <w:rsid w:val="005B3957"/>
    <w:rsid w:val="005B4020"/>
    <w:rsid w:val="005B689F"/>
    <w:rsid w:val="005B6B3E"/>
    <w:rsid w:val="005C06D6"/>
    <w:rsid w:val="005C091C"/>
    <w:rsid w:val="005C1550"/>
    <w:rsid w:val="005C1677"/>
    <w:rsid w:val="005C18C6"/>
    <w:rsid w:val="005C2C2C"/>
    <w:rsid w:val="005C3F6F"/>
    <w:rsid w:val="005C4266"/>
    <w:rsid w:val="005C48E6"/>
    <w:rsid w:val="005C4D37"/>
    <w:rsid w:val="005C789B"/>
    <w:rsid w:val="005C791D"/>
    <w:rsid w:val="005C7F25"/>
    <w:rsid w:val="005D001A"/>
    <w:rsid w:val="005D023B"/>
    <w:rsid w:val="005D0B16"/>
    <w:rsid w:val="005D0C2A"/>
    <w:rsid w:val="005D20AC"/>
    <w:rsid w:val="005D238B"/>
    <w:rsid w:val="005D3009"/>
    <w:rsid w:val="005D34E9"/>
    <w:rsid w:val="005D55A3"/>
    <w:rsid w:val="005D5609"/>
    <w:rsid w:val="005D568E"/>
    <w:rsid w:val="005D6B1E"/>
    <w:rsid w:val="005E109A"/>
    <w:rsid w:val="005E1C26"/>
    <w:rsid w:val="005E3330"/>
    <w:rsid w:val="005E472F"/>
    <w:rsid w:val="005E4A2D"/>
    <w:rsid w:val="005E4B15"/>
    <w:rsid w:val="005E4EDF"/>
    <w:rsid w:val="005E59F3"/>
    <w:rsid w:val="005E722B"/>
    <w:rsid w:val="005E76F1"/>
    <w:rsid w:val="005E789D"/>
    <w:rsid w:val="005F010A"/>
    <w:rsid w:val="005F385C"/>
    <w:rsid w:val="005F48DD"/>
    <w:rsid w:val="005F4CD2"/>
    <w:rsid w:val="005F7FF5"/>
    <w:rsid w:val="0060091F"/>
    <w:rsid w:val="006010F4"/>
    <w:rsid w:val="006012C0"/>
    <w:rsid w:val="006013D7"/>
    <w:rsid w:val="00601AA8"/>
    <w:rsid w:val="0060209B"/>
    <w:rsid w:val="00602510"/>
    <w:rsid w:val="00605B4D"/>
    <w:rsid w:val="00606C7F"/>
    <w:rsid w:val="00612AB6"/>
    <w:rsid w:val="00613D76"/>
    <w:rsid w:val="00613EC5"/>
    <w:rsid w:val="00614200"/>
    <w:rsid w:val="00614F15"/>
    <w:rsid w:val="00617799"/>
    <w:rsid w:val="00617F37"/>
    <w:rsid w:val="00621496"/>
    <w:rsid w:val="00621506"/>
    <w:rsid w:val="006219D5"/>
    <w:rsid w:val="00622676"/>
    <w:rsid w:val="00622C15"/>
    <w:rsid w:val="00624B4C"/>
    <w:rsid w:val="006256A5"/>
    <w:rsid w:val="00626310"/>
    <w:rsid w:val="00626DF1"/>
    <w:rsid w:val="00630ADA"/>
    <w:rsid w:val="00633721"/>
    <w:rsid w:val="00634BB7"/>
    <w:rsid w:val="00634F5E"/>
    <w:rsid w:val="0063558A"/>
    <w:rsid w:val="0063623F"/>
    <w:rsid w:val="00640254"/>
    <w:rsid w:val="00642D60"/>
    <w:rsid w:val="00642D85"/>
    <w:rsid w:val="00642FE1"/>
    <w:rsid w:val="00643E7C"/>
    <w:rsid w:val="00645D6F"/>
    <w:rsid w:val="00645E43"/>
    <w:rsid w:val="00647286"/>
    <w:rsid w:val="006528B0"/>
    <w:rsid w:val="00653848"/>
    <w:rsid w:val="006542C2"/>
    <w:rsid w:val="00654BA6"/>
    <w:rsid w:val="00655E73"/>
    <w:rsid w:val="00657C19"/>
    <w:rsid w:val="006623CE"/>
    <w:rsid w:val="00662636"/>
    <w:rsid w:val="0066305A"/>
    <w:rsid w:val="006643FA"/>
    <w:rsid w:val="00665EBB"/>
    <w:rsid w:val="00667055"/>
    <w:rsid w:val="00667C34"/>
    <w:rsid w:val="006701B3"/>
    <w:rsid w:val="006701F3"/>
    <w:rsid w:val="00670374"/>
    <w:rsid w:val="00670628"/>
    <w:rsid w:val="00670C2A"/>
    <w:rsid w:val="00671917"/>
    <w:rsid w:val="00672728"/>
    <w:rsid w:val="00673A98"/>
    <w:rsid w:val="00676EDF"/>
    <w:rsid w:val="00677F0B"/>
    <w:rsid w:val="006802A8"/>
    <w:rsid w:val="00683D87"/>
    <w:rsid w:val="00685A91"/>
    <w:rsid w:val="0069070B"/>
    <w:rsid w:val="00691126"/>
    <w:rsid w:val="0069270E"/>
    <w:rsid w:val="00694A2E"/>
    <w:rsid w:val="00696958"/>
    <w:rsid w:val="00696C97"/>
    <w:rsid w:val="006A0281"/>
    <w:rsid w:val="006A06EF"/>
    <w:rsid w:val="006A3959"/>
    <w:rsid w:val="006A54D3"/>
    <w:rsid w:val="006A6863"/>
    <w:rsid w:val="006B2142"/>
    <w:rsid w:val="006B3116"/>
    <w:rsid w:val="006B372B"/>
    <w:rsid w:val="006B3FA1"/>
    <w:rsid w:val="006B4146"/>
    <w:rsid w:val="006B47D8"/>
    <w:rsid w:val="006B6CF0"/>
    <w:rsid w:val="006C293D"/>
    <w:rsid w:val="006C6D94"/>
    <w:rsid w:val="006D029C"/>
    <w:rsid w:val="006D0F4A"/>
    <w:rsid w:val="006D4D58"/>
    <w:rsid w:val="006D6CC3"/>
    <w:rsid w:val="006D7C95"/>
    <w:rsid w:val="006E08D2"/>
    <w:rsid w:val="006E16FD"/>
    <w:rsid w:val="006E1CED"/>
    <w:rsid w:val="006E1EEA"/>
    <w:rsid w:val="006E2659"/>
    <w:rsid w:val="006E6B8E"/>
    <w:rsid w:val="006F0B7A"/>
    <w:rsid w:val="006F1613"/>
    <w:rsid w:val="006F2384"/>
    <w:rsid w:val="006F2F81"/>
    <w:rsid w:val="006F3771"/>
    <w:rsid w:val="006F3A54"/>
    <w:rsid w:val="006F3BA9"/>
    <w:rsid w:val="006F433D"/>
    <w:rsid w:val="006F4523"/>
    <w:rsid w:val="007011E1"/>
    <w:rsid w:val="00701FBD"/>
    <w:rsid w:val="007039B7"/>
    <w:rsid w:val="007040FC"/>
    <w:rsid w:val="00706348"/>
    <w:rsid w:val="007111FF"/>
    <w:rsid w:val="00711248"/>
    <w:rsid w:val="00711487"/>
    <w:rsid w:val="007116E3"/>
    <w:rsid w:val="00712C3E"/>
    <w:rsid w:val="0071442E"/>
    <w:rsid w:val="007144BD"/>
    <w:rsid w:val="00715A54"/>
    <w:rsid w:val="0071603B"/>
    <w:rsid w:val="007169AF"/>
    <w:rsid w:val="00716DAB"/>
    <w:rsid w:val="0072068C"/>
    <w:rsid w:val="00721527"/>
    <w:rsid w:val="00721F38"/>
    <w:rsid w:val="0072217D"/>
    <w:rsid w:val="007221B0"/>
    <w:rsid w:val="00722BDE"/>
    <w:rsid w:val="0072440E"/>
    <w:rsid w:val="00724B4F"/>
    <w:rsid w:val="00726FE1"/>
    <w:rsid w:val="0073191F"/>
    <w:rsid w:val="00732C51"/>
    <w:rsid w:val="00733203"/>
    <w:rsid w:val="0073321D"/>
    <w:rsid w:val="00733BB4"/>
    <w:rsid w:val="0073413D"/>
    <w:rsid w:val="00734303"/>
    <w:rsid w:val="00734467"/>
    <w:rsid w:val="007353A2"/>
    <w:rsid w:val="00735580"/>
    <w:rsid w:val="00736479"/>
    <w:rsid w:val="007369B0"/>
    <w:rsid w:val="00736A57"/>
    <w:rsid w:val="00736AFD"/>
    <w:rsid w:val="00740C0A"/>
    <w:rsid w:val="00740D39"/>
    <w:rsid w:val="00741A0C"/>
    <w:rsid w:val="007433BF"/>
    <w:rsid w:val="007445F4"/>
    <w:rsid w:val="00746DFE"/>
    <w:rsid w:val="00747033"/>
    <w:rsid w:val="007473C0"/>
    <w:rsid w:val="0074744E"/>
    <w:rsid w:val="007504C1"/>
    <w:rsid w:val="00752D94"/>
    <w:rsid w:val="00754D5E"/>
    <w:rsid w:val="00755176"/>
    <w:rsid w:val="007554D0"/>
    <w:rsid w:val="00756074"/>
    <w:rsid w:val="00763077"/>
    <w:rsid w:val="00763B4D"/>
    <w:rsid w:val="00763BFC"/>
    <w:rsid w:val="00764706"/>
    <w:rsid w:val="0076524D"/>
    <w:rsid w:val="00770E52"/>
    <w:rsid w:val="00771344"/>
    <w:rsid w:val="0077244D"/>
    <w:rsid w:val="00773128"/>
    <w:rsid w:val="00773CB3"/>
    <w:rsid w:val="00775A02"/>
    <w:rsid w:val="00775B6A"/>
    <w:rsid w:val="007765EC"/>
    <w:rsid w:val="007766E0"/>
    <w:rsid w:val="00780851"/>
    <w:rsid w:val="007809CF"/>
    <w:rsid w:val="00780DCB"/>
    <w:rsid w:val="007819C2"/>
    <w:rsid w:val="00782672"/>
    <w:rsid w:val="007830AC"/>
    <w:rsid w:val="00784F53"/>
    <w:rsid w:val="007A09B3"/>
    <w:rsid w:val="007A2897"/>
    <w:rsid w:val="007A2974"/>
    <w:rsid w:val="007A52CE"/>
    <w:rsid w:val="007A542A"/>
    <w:rsid w:val="007A6252"/>
    <w:rsid w:val="007A742F"/>
    <w:rsid w:val="007B1AE5"/>
    <w:rsid w:val="007B321B"/>
    <w:rsid w:val="007B3BAB"/>
    <w:rsid w:val="007B4E06"/>
    <w:rsid w:val="007B5F2B"/>
    <w:rsid w:val="007C25EF"/>
    <w:rsid w:val="007C2D62"/>
    <w:rsid w:val="007C39F3"/>
    <w:rsid w:val="007C4D70"/>
    <w:rsid w:val="007C62F5"/>
    <w:rsid w:val="007C7E44"/>
    <w:rsid w:val="007D109E"/>
    <w:rsid w:val="007D4549"/>
    <w:rsid w:val="007D725F"/>
    <w:rsid w:val="007D76EC"/>
    <w:rsid w:val="007E2C32"/>
    <w:rsid w:val="007E3840"/>
    <w:rsid w:val="007E4037"/>
    <w:rsid w:val="007E46DB"/>
    <w:rsid w:val="007E5995"/>
    <w:rsid w:val="007E6E76"/>
    <w:rsid w:val="007E75DE"/>
    <w:rsid w:val="007E7AD8"/>
    <w:rsid w:val="007F29B3"/>
    <w:rsid w:val="007F2F02"/>
    <w:rsid w:val="007F2F5E"/>
    <w:rsid w:val="007F3D93"/>
    <w:rsid w:val="007F4762"/>
    <w:rsid w:val="007F4B6A"/>
    <w:rsid w:val="007F5640"/>
    <w:rsid w:val="007F5BA4"/>
    <w:rsid w:val="007F5FA9"/>
    <w:rsid w:val="007F6929"/>
    <w:rsid w:val="007F7A1E"/>
    <w:rsid w:val="0080133C"/>
    <w:rsid w:val="008015BE"/>
    <w:rsid w:val="00803A10"/>
    <w:rsid w:val="008042D6"/>
    <w:rsid w:val="00804E1E"/>
    <w:rsid w:val="0080717B"/>
    <w:rsid w:val="00807767"/>
    <w:rsid w:val="008108C7"/>
    <w:rsid w:val="00811B81"/>
    <w:rsid w:val="00811D45"/>
    <w:rsid w:val="00812BFC"/>
    <w:rsid w:val="008139DA"/>
    <w:rsid w:val="00816C98"/>
    <w:rsid w:val="00817BFD"/>
    <w:rsid w:val="00821A87"/>
    <w:rsid w:val="00822652"/>
    <w:rsid w:val="00823EE6"/>
    <w:rsid w:val="0082447B"/>
    <w:rsid w:val="0082590C"/>
    <w:rsid w:val="00825F83"/>
    <w:rsid w:val="00826EA2"/>
    <w:rsid w:val="00827FD4"/>
    <w:rsid w:val="0083060F"/>
    <w:rsid w:val="00830B07"/>
    <w:rsid w:val="00830C5C"/>
    <w:rsid w:val="00833483"/>
    <w:rsid w:val="0083349E"/>
    <w:rsid w:val="00833FB4"/>
    <w:rsid w:val="008341C2"/>
    <w:rsid w:val="00835854"/>
    <w:rsid w:val="0083586E"/>
    <w:rsid w:val="008371F5"/>
    <w:rsid w:val="00837839"/>
    <w:rsid w:val="00841086"/>
    <w:rsid w:val="00845A06"/>
    <w:rsid w:val="0084738F"/>
    <w:rsid w:val="00847651"/>
    <w:rsid w:val="008540E3"/>
    <w:rsid w:val="008542D0"/>
    <w:rsid w:val="008562CF"/>
    <w:rsid w:val="008563AC"/>
    <w:rsid w:val="008566D7"/>
    <w:rsid w:val="008579D8"/>
    <w:rsid w:val="00864C19"/>
    <w:rsid w:val="00866483"/>
    <w:rsid w:val="008671CD"/>
    <w:rsid w:val="008677E3"/>
    <w:rsid w:val="00867BE5"/>
    <w:rsid w:val="008700A2"/>
    <w:rsid w:val="008706E4"/>
    <w:rsid w:val="00870E34"/>
    <w:rsid w:val="00871FB4"/>
    <w:rsid w:val="00873FAF"/>
    <w:rsid w:val="00874BDF"/>
    <w:rsid w:val="00874E47"/>
    <w:rsid w:val="00876525"/>
    <w:rsid w:val="008825C9"/>
    <w:rsid w:val="00882E7D"/>
    <w:rsid w:val="0088397F"/>
    <w:rsid w:val="008862B6"/>
    <w:rsid w:val="008876F5"/>
    <w:rsid w:val="00887771"/>
    <w:rsid w:val="0089231A"/>
    <w:rsid w:val="00892F3F"/>
    <w:rsid w:val="008944E0"/>
    <w:rsid w:val="00897366"/>
    <w:rsid w:val="00897666"/>
    <w:rsid w:val="008978B3"/>
    <w:rsid w:val="00897E1E"/>
    <w:rsid w:val="008A0E0B"/>
    <w:rsid w:val="008A3022"/>
    <w:rsid w:val="008A36C9"/>
    <w:rsid w:val="008A4036"/>
    <w:rsid w:val="008A4864"/>
    <w:rsid w:val="008A726C"/>
    <w:rsid w:val="008B05D5"/>
    <w:rsid w:val="008B0709"/>
    <w:rsid w:val="008B0B60"/>
    <w:rsid w:val="008B11B5"/>
    <w:rsid w:val="008B24D9"/>
    <w:rsid w:val="008B34FC"/>
    <w:rsid w:val="008B3670"/>
    <w:rsid w:val="008B4BE9"/>
    <w:rsid w:val="008B62C3"/>
    <w:rsid w:val="008B733C"/>
    <w:rsid w:val="008B7EE1"/>
    <w:rsid w:val="008C0BA5"/>
    <w:rsid w:val="008C1076"/>
    <w:rsid w:val="008C2E74"/>
    <w:rsid w:val="008C4FC1"/>
    <w:rsid w:val="008C7952"/>
    <w:rsid w:val="008C7FAD"/>
    <w:rsid w:val="008D1DD7"/>
    <w:rsid w:val="008D26C9"/>
    <w:rsid w:val="008D3412"/>
    <w:rsid w:val="008D59E3"/>
    <w:rsid w:val="008D63D2"/>
    <w:rsid w:val="008D6D61"/>
    <w:rsid w:val="008E50CE"/>
    <w:rsid w:val="008E70A4"/>
    <w:rsid w:val="008E71BE"/>
    <w:rsid w:val="008F1014"/>
    <w:rsid w:val="008F2E47"/>
    <w:rsid w:val="008F39E4"/>
    <w:rsid w:val="008F4A07"/>
    <w:rsid w:val="008F4D57"/>
    <w:rsid w:val="008F53F6"/>
    <w:rsid w:val="008F5D02"/>
    <w:rsid w:val="008F7ABC"/>
    <w:rsid w:val="0090273E"/>
    <w:rsid w:val="00903326"/>
    <w:rsid w:val="00903EC2"/>
    <w:rsid w:val="009047B0"/>
    <w:rsid w:val="00904F07"/>
    <w:rsid w:val="00905517"/>
    <w:rsid w:val="009057D8"/>
    <w:rsid w:val="009069F8"/>
    <w:rsid w:val="00907A11"/>
    <w:rsid w:val="00907A36"/>
    <w:rsid w:val="0091046D"/>
    <w:rsid w:val="0091059E"/>
    <w:rsid w:val="00912686"/>
    <w:rsid w:val="00912AD6"/>
    <w:rsid w:val="00915588"/>
    <w:rsid w:val="00915B6F"/>
    <w:rsid w:val="009164F7"/>
    <w:rsid w:val="00916D87"/>
    <w:rsid w:val="00917630"/>
    <w:rsid w:val="00917AF6"/>
    <w:rsid w:val="00917E00"/>
    <w:rsid w:val="00921D60"/>
    <w:rsid w:val="00922A18"/>
    <w:rsid w:val="009233AD"/>
    <w:rsid w:val="00924329"/>
    <w:rsid w:val="0092491B"/>
    <w:rsid w:val="0092534D"/>
    <w:rsid w:val="00925A51"/>
    <w:rsid w:val="00925B55"/>
    <w:rsid w:val="009264A6"/>
    <w:rsid w:val="00926E9F"/>
    <w:rsid w:val="00927D02"/>
    <w:rsid w:val="00927F0F"/>
    <w:rsid w:val="00931B59"/>
    <w:rsid w:val="0093319D"/>
    <w:rsid w:val="00933956"/>
    <w:rsid w:val="00934DA0"/>
    <w:rsid w:val="009361F8"/>
    <w:rsid w:val="0093621E"/>
    <w:rsid w:val="00936669"/>
    <w:rsid w:val="0094095B"/>
    <w:rsid w:val="00941C29"/>
    <w:rsid w:val="00942C5C"/>
    <w:rsid w:val="00944409"/>
    <w:rsid w:val="00945014"/>
    <w:rsid w:val="009454C0"/>
    <w:rsid w:val="009464FA"/>
    <w:rsid w:val="00946BF9"/>
    <w:rsid w:val="009528B7"/>
    <w:rsid w:val="00955B67"/>
    <w:rsid w:val="00956ACE"/>
    <w:rsid w:val="009571AE"/>
    <w:rsid w:val="009577F2"/>
    <w:rsid w:val="00960434"/>
    <w:rsid w:val="00961590"/>
    <w:rsid w:val="00964278"/>
    <w:rsid w:val="00964CDB"/>
    <w:rsid w:val="0096500A"/>
    <w:rsid w:val="0096573E"/>
    <w:rsid w:val="009664AB"/>
    <w:rsid w:val="009702B2"/>
    <w:rsid w:val="00970647"/>
    <w:rsid w:val="00970F6D"/>
    <w:rsid w:val="0097340C"/>
    <w:rsid w:val="00974D16"/>
    <w:rsid w:val="009778E2"/>
    <w:rsid w:val="0098108B"/>
    <w:rsid w:val="00982E26"/>
    <w:rsid w:val="00983442"/>
    <w:rsid w:val="00984487"/>
    <w:rsid w:val="009871B4"/>
    <w:rsid w:val="0099005A"/>
    <w:rsid w:val="00990C37"/>
    <w:rsid w:val="0099312F"/>
    <w:rsid w:val="00993C5E"/>
    <w:rsid w:val="00993F26"/>
    <w:rsid w:val="00995147"/>
    <w:rsid w:val="00995673"/>
    <w:rsid w:val="009A1ACF"/>
    <w:rsid w:val="009B029F"/>
    <w:rsid w:val="009B07F3"/>
    <w:rsid w:val="009B2401"/>
    <w:rsid w:val="009B3CDE"/>
    <w:rsid w:val="009B615E"/>
    <w:rsid w:val="009B61A1"/>
    <w:rsid w:val="009B6D11"/>
    <w:rsid w:val="009C0384"/>
    <w:rsid w:val="009C0FD3"/>
    <w:rsid w:val="009C1984"/>
    <w:rsid w:val="009C316C"/>
    <w:rsid w:val="009C3B0D"/>
    <w:rsid w:val="009C40C2"/>
    <w:rsid w:val="009C5A0E"/>
    <w:rsid w:val="009C6089"/>
    <w:rsid w:val="009C6ED4"/>
    <w:rsid w:val="009D07D9"/>
    <w:rsid w:val="009D08BD"/>
    <w:rsid w:val="009D0F98"/>
    <w:rsid w:val="009D16BD"/>
    <w:rsid w:val="009D18DE"/>
    <w:rsid w:val="009D1906"/>
    <w:rsid w:val="009D20E2"/>
    <w:rsid w:val="009D3C19"/>
    <w:rsid w:val="009D3D21"/>
    <w:rsid w:val="009D4959"/>
    <w:rsid w:val="009D7F57"/>
    <w:rsid w:val="009E0082"/>
    <w:rsid w:val="009E272D"/>
    <w:rsid w:val="009E3B0F"/>
    <w:rsid w:val="009E5D3A"/>
    <w:rsid w:val="009E5E68"/>
    <w:rsid w:val="009E7062"/>
    <w:rsid w:val="009E7A65"/>
    <w:rsid w:val="009F0576"/>
    <w:rsid w:val="009F70AE"/>
    <w:rsid w:val="009F78AE"/>
    <w:rsid w:val="00A0338C"/>
    <w:rsid w:val="00A0357A"/>
    <w:rsid w:val="00A04B24"/>
    <w:rsid w:val="00A0664C"/>
    <w:rsid w:val="00A10CCE"/>
    <w:rsid w:val="00A13F86"/>
    <w:rsid w:val="00A161C8"/>
    <w:rsid w:val="00A162EE"/>
    <w:rsid w:val="00A16C21"/>
    <w:rsid w:val="00A2092C"/>
    <w:rsid w:val="00A217C1"/>
    <w:rsid w:val="00A22733"/>
    <w:rsid w:val="00A23237"/>
    <w:rsid w:val="00A24940"/>
    <w:rsid w:val="00A25E0F"/>
    <w:rsid w:val="00A2654F"/>
    <w:rsid w:val="00A30128"/>
    <w:rsid w:val="00A33939"/>
    <w:rsid w:val="00A34AA5"/>
    <w:rsid w:val="00A35397"/>
    <w:rsid w:val="00A3640D"/>
    <w:rsid w:val="00A3660E"/>
    <w:rsid w:val="00A43309"/>
    <w:rsid w:val="00A441F7"/>
    <w:rsid w:val="00A4433C"/>
    <w:rsid w:val="00A45189"/>
    <w:rsid w:val="00A45BB2"/>
    <w:rsid w:val="00A45C17"/>
    <w:rsid w:val="00A46ECA"/>
    <w:rsid w:val="00A510AA"/>
    <w:rsid w:val="00A514F5"/>
    <w:rsid w:val="00A5272A"/>
    <w:rsid w:val="00A52B95"/>
    <w:rsid w:val="00A53954"/>
    <w:rsid w:val="00A5727B"/>
    <w:rsid w:val="00A57EA6"/>
    <w:rsid w:val="00A609B6"/>
    <w:rsid w:val="00A62883"/>
    <w:rsid w:val="00A62A6E"/>
    <w:rsid w:val="00A64742"/>
    <w:rsid w:val="00A669C1"/>
    <w:rsid w:val="00A66A3E"/>
    <w:rsid w:val="00A67E14"/>
    <w:rsid w:val="00A7003F"/>
    <w:rsid w:val="00A71910"/>
    <w:rsid w:val="00A71CA1"/>
    <w:rsid w:val="00A72B95"/>
    <w:rsid w:val="00A73D41"/>
    <w:rsid w:val="00A73E4E"/>
    <w:rsid w:val="00A748D2"/>
    <w:rsid w:val="00A758A4"/>
    <w:rsid w:val="00A81317"/>
    <w:rsid w:val="00A81593"/>
    <w:rsid w:val="00A819EE"/>
    <w:rsid w:val="00A82E1D"/>
    <w:rsid w:val="00A83348"/>
    <w:rsid w:val="00A84079"/>
    <w:rsid w:val="00A840A4"/>
    <w:rsid w:val="00A8428B"/>
    <w:rsid w:val="00A8495E"/>
    <w:rsid w:val="00A86567"/>
    <w:rsid w:val="00A87128"/>
    <w:rsid w:val="00A90E25"/>
    <w:rsid w:val="00A90F5B"/>
    <w:rsid w:val="00A91CAC"/>
    <w:rsid w:val="00A94B2E"/>
    <w:rsid w:val="00A95F14"/>
    <w:rsid w:val="00A96544"/>
    <w:rsid w:val="00A97482"/>
    <w:rsid w:val="00A97BCC"/>
    <w:rsid w:val="00AA45E1"/>
    <w:rsid w:val="00AA4973"/>
    <w:rsid w:val="00AB0537"/>
    <w:rsid w:val="00AB1676"/>
    <w:rsid w:val="00AB2B5B"/>
    <w:rsid w:val="00AB3914"/>
    <w:rsid w:val="00AB6B79"/>
    <w:rsid w:val="00AB7094"/>
    <w:rsid w:val="00AB7566"/>
    <w:rsid w:val="00AB7E23"/>
    <w:rsid w:val="00AC0C21"/>
    <w:rsid w:val="00AC1E64"/>
    <w:rsid w:val="00AC233C"/>
    <w:rsid w:val="00AC2F92"/>
    <w:rsid w:val="00AC45B7"/>
    <w:rsid w:val="00AC4685"/>
    <w:rsid w:val="00AC5E18"/>
    <w:rsid w:val="00AC71EB"/>
    <w:rsid w:val="00AC7243"/>
    <w:rsid w:val="00AC7740"/>
    <w:rsid w:val="00AD0307"/>
    <w:rsid w:val="00AD0B48"/>
    <w:rsid w:val="00AD18F7"/>
    <w:rsid w:val="00AD1F0E"/>
    <w:rsid w:val="00AD2528"/>
    <w:rsid w:val="00AD3793"/>
    <w:rsid w:val="00AD49E7"/>
    <w:rsid w:val="00AD5217"/>
    <w:rsid w:val="00AD5C76"/>
    <w:rsid w:val="00AD719E"/>
    <w:rsid w:val="00AE2C3E"/>
    <w:rsid w:val="00AE3296"/>
    <w:rsid w:val="00AE5E22"/>
    <w:rsid w:val="00AE646C"/>
    <w:rsid w:val="00AE6F93"/>
    <w:rsid w:val="00AE7877"/>
    <w:rsid w:val="00AE78B1"/>
    <w:rsid w:val="00AF0548"/>
    <w:rsid w:val="00AF108F"/>
    <w:rsid w:val="00AF10E8"/>
    <w:rsid w:val="00AF35B6"/>
    <w:rsid w:val="00AF4B69"/>
    <w:rsid w:val="00AF5B60"/>
    <w:rsid w:val="00AF7D5D"/>
    <w:rsid w:val="00B0383C"/>
    <w:rsid w:val="00B05313"/>
    <w:rsid w:val="00B05907"/>
    <w:rsid w:val="00B0625D"/>
    <w:rsid w:val="00B10236"/>
    <w:rsid w:val="00B10841"/>
    <w:rsid w:val="00B10912"/>
    <w:rsid w:val="00B126CD"/>
    <w:rsid w:val="00B136CB"/>
    <w:rsid w:val="00B14538"/>
    <w:rsid w:val="00B15CBE"/>
    <w:rsid w:val="00B1647A"/>
    <w:rsid w:val="00B1687C"/>
    <w:rsid w:val="00B20378"/>
    <w:rsid w:val="00B219AB"/>
    <w:rsid w:val="00B21B3A"/>
    <w:rsid w:val="00B227D2"/>
    <w:rsid w:val="00B22FA5"/>
    <w:rsid w:val="00B23030"/>
    <w:rsid w:val="00B26420"/>
    <w:rsid w:val="00B305EF"/>
    <w:rsid w:val="00B30E53"/>
    <w:rsid w:val="00B31268"/>
    <w:rsid w:val="00B33A74"/>
    <w:rsid w:val="00B3401B"/>
    <w:rsid w:val="00B341BA"/>
    <w:rsid w:val="00B34F61"/>
    <w:rsid w:val="00B359C1"/>
    <w:rsid w:val="00B3681C"/>
    <w:rsid w:val="00B37EF3"/>
    <w:rsid w:val="00B4047E"/>
    <w:rsid w:val="00B41D62"/>
    <w:rsid w:val="00B42B17"/>
    <w:rsid w:val="00B42FED"/>
    <w:rsid w:val="00B46967"/>
    <w:rsid w:val="00B46F24"/>
    <w:rsid w:val="00B46FA1"/>
    <w:rsid w:val="00B477CC"/>
    <w:rsid w:val="00B51A57"/>
    <w:rsid w:val="00B5209B"/>
    <w:rsid w:val="00B544E5"/>
    <w:rsid w:val="00B56C94"/>
    <w:rsid w:val="00B61867"/>
    <w:rsid w:val="00B622D1"/>
    <w:rsid w:val="00B62B2E"/>
    <w:rsid w:val="00B64026"/>
    <w:rsid w:val="00B64A40"/>
    <w:rsid w:val="00B65AB4"/>
    <w:rsid w:val="00B66E7E"/>
    <w:rsid w:val="00B711D7"/>
    <w:rsid w:val="00B728F9"/>
    <w:rsid w:val="00B75BE2"/>
    <w:rsid w:val="00B75DBD"/>
    <w:rsid w:val="00B76671"/>
    <w:rsid w:val="00B77714"/>
    <w:rsid w:val="00B77A02"/>
    <w:rsid w:val="00B81F9D"/>
    <w:rsid w:val="00B826F2"/>
    <w:rsid w:val="00B82755"/>
    <w:rsid w:val="00B84678"/>
    <w:rsid w:val="00B8558D"/>
    <w:rsid w:val="00B8679E"/>
    <w:rsid w:val="00B877D2"/>
    <w:rsid w:val="00B918AC"/>
    <w:rsid w:val="00B92484"/>
    <w:rsid w:val="00B92ED3"/>
    <w:rsid w:val="00B9480E"/>
    <w:rsid w:val="00B96555"/>
    <w:rsid w:val="00B97519"/>
    <w:rsid w:val="00B97C83"/>
    <w:rsid w:val="00BA0AD7"/>
    <w:rsid w:val="00BA2E22"/>
    <w:rsid w:val="00BA3949"/>
    <w:rsid w:val="00BA4946"/>
    <w:rsid w:val="00BA51F9"/>
    <w:rsid w:val="00BA68DF"/>
    <w:rsid w:val="00BA6EF4"/>
    <w:rsid w:val="00BA70ED"/>
    <w:rsid w:val="00BA7838"/>
    <w:rsid w:val="00BA7AFC"/>
    <w:rsid w:val="00BB10CC"/>
    <w:rsid w:val="00BB1569"/>
    <w:rsid w:val="00BB51B4"/>
    <w:rsid w:val="00BB60AD"/>
    <w:rsid w:val="00BB66A1"/>
    <w:rsid w:val="00BB6FE4"/>
    <w:rsid w:val="00BB7C68"/>
    <w:rsid w:val="00BC103F"/>
    <w:rsid w:val="00BC325C"/>
    <w:rsid w:val="00BC366A"/>
    <w:rsid w:val="00BC3CF8"/>
    <w:rsid w:val="00BC609B"/>
    <w:rsid w:val="00BD0D28"/>
    <w:rsid w:val="00BD214A"/>
    <w:rsid w:val="00BD23E8"/>
    <w:rsid w:val="00BD24BD"/>
    <w:rsid w:val="00BD2BED"/>
    <w:rsid w:val="00BD3FFA"/>
    <w:rsid w:val="00BD57FA"/>
    <w:rsid w:val="00BD65AD"/>
    <w:rsid w:val="00BD6D7A"/>
    <w:rsid w:val="00BD761E"/>
    <w:rsid w:val="00BE0AAE"/>
    <w:rsid w:val="00BE3EB1"/>
    <w:rsid w:val="00BE57D4"/>
    <w:rsid w:val="00BE713F"/>
    <w:rsid w:val="00BE72BB"/>
    <w:rsid w:val="00BE7DAC"/>
    <w:rsid w:val="00BF061F"/>
    <w:rsid w:val="00BF0EC8"/>
    <w:rsid w:val="00BF1109"/>
    <w:rsid w:val="00BF1963"/>
    <w:rsid w:val="00BF19A4"/>
    <w:rsid w:val="00BF4519"/>
    <w:rsid w:val="00BF577C"/>
    <w:rsid w:val="00BF5C8C"/>
    <w:rsid w:val="00BF6F8D"/>
    <w:rsid w:val="00BF7E7F"/>
    <w:rsid w:val="00C0057C"/>
    <w:rsid w:val="00C01A25"/>
    <w:rsid w:val="00C02CB4"/>
    <w:rsid w:val="00C06A02"/>
    <w:rsid w:val="00C11497"/>
    <w:rsid w:val="00C116F9"/>
    <w:rsid w:val="00C128C5"/>
    <w:rsid w:val="00C14F91"/>
    <w:rsid w:val="00C17019"/>
    <w:rsid w:val="00C176F4"/>
    <w:rsid w:val="00C20C82"/>
    <w:rsid w:val="00C20FD4"/>
    <w:rsid w:val="00C21282"/>
    <w:rsid w:val="00C21B16"/>
    <w:rsid w:val="00C21FC8"/>
    <w:rsid w:val="00C2307F"/>
    <w:rsid w:val="00C23A1E"/>
    <w:rsid w:val="00C3114C"/>
    <w:rsid w:val="00C32039"/>
    <w:rsid w:val="00C33465"/>
    <w:rsid w:val="00C33B9B"/>
    <w:rsid w:val="00C33BEC"/>
    <w:rsid w:val="00C35A69"/>
    <w:rsid w:val="00C36A28"/>
    <w:rsid w:val="00C37B84"/>
    <w:rsid w:val="00C37ED9"/>
    <w:rsid w:val="00C40C0B"/>
    <w:rsid w:val="00C42E5C"/>
    <w:rsid w:val="00C449CE"/>
    <w:rsid w:val="00C44D5B"/>
    <w:rsid w:val="00C4541D"/>
    <w:rsid w:val="00C46609"/>
    <w:rsid w:val="00C468A7"/>
    <w:rsid w:val="00C47170"/>
    <w:rsid w:val="00C52970"/>
    <w:rsid w:val="00C535FC"/>
    <w:rsid w:val="00C54DA1"/>
    <w:rsid w:val="00C563E5"/>
    <w:rsid w:val="00C56CA5"/>
    <w:rsid w:val="00C611AA"/>
    <w:rsid w:val="00C61708"/>
    <w:rsid w:val="00C61743"/>
    <w:rsid w:val="00C617E1"/>
    <w:rsid w:val="00C61BB9"/>
    <w:rsid w:val="00C62AEB"/>
    <w:rsid w:val="00C64EDF"/>
    <w:rsid w:val="00C660C9"/>
    <w:rsid w:val="00C6732C"/>
    <w:rsid w:val="00C71DF0"/>
    <w:rsid w:val="00C7271E"/>
    <w:rsid w:val="00C73EA1"/>
    <w:rsid w:val="00C74785"/>
    <w:rsid w:val="00C74F93"/>
    <w:rsid w:val="00C75355"/>
    <w:rsid w:val="00C757DB"/>
    <w:rsid w:val="00C7696F"/>
    <w:rsid w:val="00C77522"/>
    <w:rsid w:val="00C82013"/>
    <w:rsid w:val="00C82375"/>
    <w:rsid w:val="00C86A1D"/>
    <w:rsid w:val="00C90734"/>
    <w:rsid w:val="00C914D8"/>
    <w:rsid w:val="00C91AA2"/>
    <w:rsid w:val="00C91EFD"/>
    <w:rsid w:val="00C927AB"/>
    <w:rsid w:val="00C93748"/>
    <w:rsid w:val="00C9408A"/>
    <w:rsid w:val="00C94692"/>
    <w:rsid w:val="00C94A68"/>
    <w:rsid w:val="00C95E94"/>
    <w:rsid w:val="00C96A1A"/>
    <w:rsid w:val="00C97795"/>
    <w:rsid w:val="00CA02C6"/>
    <w:rsid w:val="00CA4CEB"/>
    <w:rsid w:val="00CA5166"/>
    <w:rsid w:val="00CA529C"/>
    <w:rsid w:val="00CA7609"/>
    <w:rsid w:val="00CB0194"/>
    <w:rsid w:val="00CB15D8"/>
    <w:rsid w:val="00CB2DC3"/>
    <w:rsid w:val="00CB4466"/>
    <w:rsid w:val="00CB5377"/>
    <w:rsid w:val="00CB5A71"/>
    <w:rsid w:val="00CB70ED"/>
    <w:rsid w:val="00CC15AA"/>
    <w:rsid w:val="00CC1B97"/>
    <w:rsid w:val="00CC3800"/>
    <w:rsid w:val="00CC3A83"/>
    <w:rsid w:val="00CC50A1"/>
    <w:rsid w:val="00CC52DC"/>
    <w:rsid w:val="00CC792D"/>
    <w:rsid w:val="00CD06BA"/>
    <w:rsid w:val="00CD0B6B"/>
    <w:rsid w:val="00CD0E22"/>
    <w:rsid w:val="00CD1427"/>
    <w:rsid w:val="00CD28F7"/>
    <w:rsid w:val="00CD63E4"/>
    <w:rsid w:val="00CD6D7B"/>
    <w:rsid w:val="00CD6E3F"/>
    <w:rsid w:val="00CE36CD"/>
    <w:rsid w:val="00CE4875"/>
    <w:rsid w:val="00CE4921"/>
    <w:rsid w:val="00CE5C60"/>
    <w:rsid w:val="00CE5F50"/>
    <w:rsid w:val="00CE6D00"/>
    <w:rsid w:val="00CE7B8C"/>
    <w:rsid w:val="00CF004B"/>
    <w:rsid w:val="00CF1604"/>
    <w:rsid w:val="00CF29EC"/>
    <w:rsid w:val="00CF3602"/>
    <w:rsid w:val="00CF3745"/>
    <w:rsid w:val="00CF5939"/>
    <w:rsid w:val="00CF65F0"/>
    <w:rsid w:val="00CF704B"/>
    <w:rsid w:val="00CF70ED"/>
    <w:rsid w:val="00D01F96"/>
    <w:rsid w:val="00D05112"/>
    <w:rsid w:val="00D07251"/>
    <w:rsid w:val="00D106BD"/>
    <w:rsid w:val="00D10AD4"/>
    <w:rsid w:val="00D13ACB"/>
    <w:rsid w:val="00D13CF5"/>
    <w:rsid w:val="00D13E82"/>
    <w:rsid w:val="00D145BE"/>
    <w:rsid w:val="00D154AE"/>
    <w:rsid w:val="00D15BD5"/>
    <w:rsid w:val="00D16DB5"/>
    <w:rsid w:val="00D20CE6"/>
    <w:rsid w:val="00D211A5"/>
    <w:rsid w:val="00D23511"/>
    <w:rsid w:val="00D23667"/>
    <w:rsid w:val="00D23DAA"/>
    <w:rsid w:val="00D25C3E"/>
    <w:rsid w:val="00D25F4E"/>
    <w:rsid w:val="00D26266"/>
    <w:rsid w:val="00D31789"/>
    <w:rsid w:val="00D326D2"/>
    <w:rsid w:val="00D3374E"/>
    <w:rsid w:val="00D337C5"/>
    <w:rsid w:val="00D34747"/>
    <w:rsid w:val="00D34B18"/>
    <w:rsid w:val="00D34CE9"/>
    <w:rsid w:val="00D35551"/>
    <w:rsid w:val="00D3602D"/>
    <w:rsid w:val="00D36929"/>
    <w:rsid w:val="00D36FFE"/>
    <w:rsid w:val="00D37B3B"/>
    <w:rsid w:val="00D4091D"/>
    <w:rsid w:val="00D41B5B"/>
    <w:rsid w:val="00D424D1"/>
    <w:rsid w:val="00D426A9"/>
    <w:rsid w:val="00D42C53"/>
    <w:rsid w:val="00D4372A"/>
    <w:rsid w:val="00D45290"/>
    <w:rsid w:val="00D4796A"/>
    <w:rsid w:val="00D47E53"/>
    <w:rsid w:val="00D505A5"/>
    <w:rsid w:val="00D53CAE"/>
    <w:rsid w:val="00D55B22"/>
    <w:rsid w:val="00D60020"/>
    <w:rsid w:val="00D60226"/>
    <w:rsid w:val="00D64C8F"/>
    <w:rsid w:val="00D6660B"/>
    <w:rsid w:val="00D67CFE"/>
    <w:rsid w:val="00D70277"/>
    <w:rsid w:val="00D7688D"/>
    <w:rsid w:val="00D772A1"/>
    <w:rsid w:val="00D7771D"/>
    <w:rsid w:val="00D77B08"/>
    <w:rsid w:val="00D800C6"/>
    <w:rsid w:val="00D827FB"/>
    <w:rsid w:val="00D8512E"/>
    <w:rsid w:val="00D856BB"/>
    <w:rsid w:val="00D87076"/>
    <w:rsid w:val="00D87B73"/>
    <w:rsid w:val="00D87D5A"/>
    <w:rsid w:val="00D90C73"/>
    <w:rsid w:val="00D91095"/>
    <w:rsid w:val="00D936BE"/>
    <w:rsid w:val="00D95334"/>
    <w:rsid w:val="00D95EED"/>
    <w:rsid w:val="00DA035E"/>
    <w:rsid w:val="00DA2516"/>
    <w:rsid w:val="00DA3067"/>
    <w:rsid w:val="00DA429F"/>
    <w:rsid w:val="00DA5A02"/>
    <w:rsid w:val="00DA66E2"/>
    <w:rsid w:val="00DA6E6C"/>
    <w:rsid w:val="00DA7905"/>
    <w:rsid w:val="00DB02FF"/>
    <w:rsid w:val="00DB2048"/>
    <w:rsid w:val="00DB3077"/>
    <w:rsid w:val="00DB3B69"/>
    <w:rsid w:val="00DB72BC"/>
    <w:rsid w:val="00DB7818"/>
    <w:rsid w:val="00DB7F32"/>
    <w:rsid w:val="00DC0555"/>
    <w:rsid w:val="00DC0CA8"/>
    <w:rsid w:val="00DC4E9D"/>
    <w:rsid w:val="00DC56DF"/>
    <w:rsid w:val="00DC587A"/>
    <w:rsid w:val="00DC5CD8"/>
    <w:rsid w:val="00DC715B"/>
    <w:rsid w:val="00DD1103"/>
    <w:rsid w:val="00DD1691"/>
    <w:rsid w:val="00DD1B2E"/>
    <w:rsid w:val="00DD2D3A"/>
    <w:rsid w:val="00DD2F67"/>
    <w:rsid w:val="00DD6E7A"/>
    <w:rsid w:val="00DD7761"/>
    <w:rsid w:val="00DE3FDA"/>
    <w:rsid w:val="00DE4D39"/>
    <w:rsid w:val="00DE5195"/>
    <w:rsid w:val="00DE634A"/>
    <w:rsid w:val="00DF08BC"/>
    <w:rsid w:val="00DF344C"/>
    <w:rsid w:val="00DF3EDE"/>
    <w:rsid w:val="00DF4EB1"/>
    <w:rsid w:val="00DF6D8D"/>
    <w:rsid w:val="00DF7C50"/>
    <w:rsid w:val="00DF7DBE"/>
    <w:rsid w:val="00E0173E"/>
    <w:rsid w:val="00E01E53"/>
    <w:rsid w:val="00E0400A"/>
    <w:rsid w:val="00E06ADD"/>
    <w:rsid w:val="00E07284"/>
    <w:rsid w:val="00E10E19"/>
    <w:rsid w:val="00E1117C"/>
    <w:rsid w:val="00E11ECD"/>
    <w:rsid w:val="00E1376E"/>
    <w:rsid w:val="00E152F3"/>
    <w:rsid w:val="00E171C8"/>
    <w:rsid w:val="00E208AB"/>
    <w:rsid w:val="00E216CF"/>
    <w:rsid w:val="00E2261F"/>
    <w:rsid w:val="00E22D42"/>
    <w:rsid w:val="00E22FE5"/>
    <w:rsid w:val="00E24F4D"/>
    <w:rsid w:val="00E274F6"/>
    <w:rsid w:val="00E27B54"/>
    <w:rsid w:val="00E300C4"/>
    <w:rsid w:val="00E301AD"/>
    <w:rsid w:val="00E30510"/>
    <w:rsid w:val="00E3087B"/>
    <w:rsid w:val="00E31464"/>
    <w:rsid w:val="00E32D4F"/>
    <w:rsid w:val="00E32FA1"/>
    <w:rsid w:val="00E37282"/>
    <w:rsid w:val="00E37E55"/>
    <w:rsid w:val="00E41E82"/>
    <w:rsid w:val="00E41EC6"/>
    <w:rsid w:val="00E422B0"/>
    <w:rsid w:val="00E42E52"/>
    <w:rsid w:val="00E438CE"/>
    <w:rsid w:val="00E4400C"/>
    <w:rsid w:val="00E4512E"/>
    <w:rsid w:val="00E456A5"/>
    <w:rsid w:val="00E4787E"/>
    <w:rsid w:val="00E50111"/>
    <w:rsid w:val="00E508A7"/>
    <w:rsid w:val="00E528CC"/>
    <w:rsid w:val="00E529EB"/>
    <w:rsid w:val="00E530BE"/>
    <w:rsid w:val="00E54440"/>
    <w:rsid w:val="00E54696"/>
    <w:rsid w:val="00E54792"/>
    <w:rsid w:val="00E54C3B"/>
    <w:rsid w:val="00E5515C"/>
    <w:rsid w:val="00E5533C"/>
    <w:rsid w:val="00E56FCE"/>
    <w:rsid w:val="00E612C6"/>
    <w:rsid w:val="00E614A9"/>
    <w:rsid w:val="00E63B5C"/>
    <w:rsid w:val="00E729B2"/>
    <w:rsid w:val="00E73094"/>
    <w:rsid w:val="00E73A46"/>
    <w:rsid w:val="00E73D15"/>
    <w:rsid w:val="00E741EC"/>
    <w:rsid w:val="00E74AE6"/>
    <w:rsid w:val="00E76ADE"/>
    <w:rsid w:val="00E83072"/>
    <w:rsid w:val="00E857A0"/>
    <w:rsid w:val="00E85899"/>
    <w:rsid w:val="00E86B7A"/>
    <w:rsid w:val="00E87376"/>
    <w:rsid w:val="00E8789E"/>
    <w:rsid w:val="00E87959"/>
    <w:rsid w:val="00E92642"/>
    <w:rsid w:val="00E927AC"/>
    <w:rsid w:val="00E95B35"/>
    <w:rsid w:val="00E95C49"/>
    <w:rsid w:val="00E96506"/>
    <w:rsid w:val="00E96854"/>
    <w:rsid w:val="00E97573"/>
    <w:rsid w:val="00EA0C3D"/>
    <w:rsid w:val="00EA1A1D"/>
    <w:rsid w:val="00EA5DC9"/>
    <w:rsid w:val="00EA67DA"/>
    <w:rsid w:val="00EA764A"/>
    <w:rsid w:val="00EA79DE"/>
    <w:rsid w:val="00EB041F"/>
    <w:rsid w:val="00EB22C1"/>
    <w:rsid w:val="00EB3700"/>
    <w:rsid w:val="00EB4F74"/>
    <w:rsid w:val="00EB572A"/>
    <w:rsid w:val="00EB66F3"/>
    <w:rsid w:val="00EB6782"/>
    <w:rsid w:val="00EB7371"/>
    <w:rsid w:val="00EC2080"/>
    <w:rsid w:val="00EC40D4"/>
    <w:rsid w:val="00EC4834"/>
    <w:rsid w:val="00EC76E0"/>
    <w:rsid w:val="00ED0CF1"/>
    <w:rsid w:val="00ED3F5B"/>
    <w:rsid w:val="00ED5BE4"/>
    <w:rsid w:val="00EE1850"/>
    <w:rsid w:val="00EE1958"/>
    <w:rsid w:val="00EE3263"/>
    <w:rsid w:val="00EE371F"/>
    <w:rsid w:val="00EE43A0"/>
    <w:rsid w:val="00EF0F34"/>
    <w:rsid w:val="00EF2C81"/>
    <w:rsid w:val="00EF3FFC"/>
    <w:rsid w:val="00EF5901"/>
    <w:rsid w:val="00EF66CA"/>
    <w:rsid w:val="00EF6F03"/>
    <w:rsid w:val="00EF7A44"/>
    <w:rsid w:val="00F0329B"/>
    <w:rsid w:val="00F0355A"/>
    <w:rsid w:val="00F07101"/>
    <w:rsid w:val="00F10530"/>
    <w:rsid w:val="00F108DF"/>
    <w:rsid w:val="00F12049"/>
    <w:rsid w:val="00F1287C"/>
    <w:rsid w:val="00F145E2"/>
    <w:rsid w:val="00F14979"/>
    <w:rsid w:val="00F14E99"/>
    <w:rsid w:val="00F16561"/>
    <w:rsid w:val="00F17E5F"/>
    <w:rsid w:val="00F203D6"/>
    <w:rsid w:val="00F2087A"/>
    <w:rsid w:val="00F218E9"/>
    <w:rsid w:val="00F21A5F"/>
    <w:rsid w:val="00F22DC8"/>
    <w:rsid w:val="00F26837"/>
    <w:rsid w:val="00F30330"/>
    <w:rsid w:val="00F30E39"/>
    <w:rsid w:val="00F324B7"/>
    <w:rsid w:val="00F32F7F"/>
    <w:rsid w:val="00F335CD"/>
    <w:rsid w:val="00F33B57"/>
    <w:rsid w:val="00F3453D"/>
    <w:rsid w:val="00F352FB"/>
    <w:rsid w:val="00F3574C"/>
    <w:rsid w:val="00F37C7F"/>
    <w:rsid w:val="00F41863"/>
    <w:rsid w:val="00F41DA9"/>
    <w:rsid w:val="00F43BD4"/>
    <w:rsid w:val="00F44A17"/>
    <w:rsid w:val="00F47B9A"/>
    <w:rsid w:val="00F47FA6"/>
    <w:rsid w:val="00F500F9"/>
    <w:rsid w:val="00F50BA6"/>
    <w:rsid w:val="00F51AEF"/>
    <w:rsid w:val="00F54A90"/>
    <w:rsid w:val="00F552DF"/>
    <w:rsid w:val="00F56546"/>
    <w:rsid w:val="00F56B94"/>
    <w:rsid w:val="00F6067A"/>
    <w:rsid w:val="00F606F4"/>
    <w:rsid w:val="00F639AD"/>
    <w:rsid w:val="00F64324"/>
    <w:rsid w:val="00F6567E"/>
    <w:rsid w:val="00F65801"/>
    <w:rsid w:val="00F65F04"/>
    <w:rsid w:val="00F66514"/>
    <w:rsid w:val="00F673F0"/>
    <w:rsid w:val="00F67C03"/>
    <w:rsid w:val="00F67CBF"/>
    <w:rsid w:val="00F70802"/>
    <w:rsid w:val="00F71727"/>
    <w:rsid w:val="00F727B8"/>
    <w:rsid w:val="00F72BD0"/>
    <w:rsid w:val="00F73617"/>
    <w:rsid w:val="00F75BF7"/>
    <w:rsid w:val="00F768FB"/>
    <w:rsid w:val="00F7748B"/>
    <w:rsid w:val="00F8093B"/>
    <w:rsid w:val="00F811F4"/>
    <w:rsid w:val="00F83988"/>
    <w:rsid w:val="00F84213"/>
    <w:rsid w:val="00F84694"/>
    <w:rsid w:val="00F84C63"/>
    <w:rsid w:val="00F855EA"/>
    <w:rsid w:val="00F86008"/>
    <w:rsid w:val="00F867DA"/>
    <w:rsid w:val="00F9136D"/>
    <w:rsid w:val="00F96714"/>
    <w:rsid w:val="00F96AC7"/>
    <w:rsid w:val="00FA0605"/>
    <w:rsid w:val="00FA2262"/>
    <w:rsid w:val="00FA254E"/>
    <w:rsid w:val="00FA26EB"/>
    <w:rsid w:val="00FA2C66"/>
    <w:rsid w:val="00FA3CB4"/>
    <w:rsid w:val="00FA7776"/>
    <w:rsid w:val="00FA7D64"/>
    <w:rsid w:val="00FB039A"/>
    <w:rsid w:val="00FB191B"/>
    <w:rsid w:val="00FB2FF1"/>
    <w:rsid w:val="00FB3876"/>
    <w:rsid w:val="00FB3F0E"/>
    <w:rsid w:val="00FB4297"/>
    <w:rsid w:val="00FB77ED"/>
    <w:rsid w:val="00FC1248"/>
    <w:rsid w:val="00FC166D"/>
    <w:rsid w:val="00FC1853"/>
    <w:rsid w:val="00FC7256"/>
    <w:rsid w:val="00FD0FC5"/>
    <w:rsid w:val="00FD1493"/>
    <w:rsid w:val="00FD684C"/>
    <w:rsid w:val="00FD6E67"/>
    <w:rsid w:val="00FE136A"/>
    <w:rsid w:val="00FE14EA"/>
    <w:rsid w:val="00FE18E3"/>
    <w:rsid w:val="00FE1C7F"/>
    <w:rsid w:val="00FE2692"/>
    <w:rsid w:val="00FE2828"/>
    <w:rsid w:val="00FE30F5"/>
    <w:rsid w:val="00FE3441"/>
    <w:rsid w:val="00FE499E"/>
    <w:rsid w:val="00FE6438"/>
    <w:rsid w:val="00FE652C"/>
    <w:rsid w:val="00FE6C43"/>
    <w:rsid w:val="00FF066B"/>
    <w:rsid w:val="00FF1329"/>
    <w:rsid w:val="00FF145B"/>
    <w:rsid w:val="00FF1541"/>
    <w:rsid w:val="00FF1D29"/>
    <w:rsid w:val="00FF4909"/>
    <w:rsid w:val="00FF5C13"/>
    <w:rsid w:val="00FF64A1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4C566-BBDD-47BB-9168-35D44764C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90B"/>
    <w:pPr>
      <w:spacing w:after="0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C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90B"/>
    <w:rPr>
      <w:rFonts w:ascii="Tahoma" w:hAnsi="Tahoma" w:cs="Tahoma"/>
      <w:sz w:val="16"/>
      <w:szCs w:val="16"/>
    </w:rPr>
  </w:style>
  <w:style w:type="paragraph" w:customStyle="1" w:styleId="CharCarChar">
    <w:name w:val="Char Car Char"/>
    <w:basedOn w:val="a"/>
    <w:rsid w:val="00FE282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C44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4D5B"/>
  </w:style>
  <w:style w:type="paragraph" w:styleId="a8">
    <w:name w:val="footer"/>
    <w:basedOn w:val="a"/>
    <w:link w:val="a9"/>
    <w:uiPriority w:val="99"/>
    <w:unhideWhenUsed/>
    <w:rsid w:val="00C44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4D5B"/>
  </w:style>
  <w:style w:type="character" w:customStyle="1" w:styleId="apple-style-span">
    <w:name w:val="apple-style-span"/>
    <w:basedOn w:val="a0"/>
    <w:rsid w:val="00970F6D"/>
  </w:style>
  <w:style w:type="character" w:customStyle="1" w:styleId="apple-converted-space">
    <w:name w:val="apple-converted-space"/>
    <w:basedOn w:val="a0"/>
    <w:rsid w:val="00970F6D"/>
  </w:style>
  <w:style w:type="paragraph" w:styleId="aa">
    <w:name w:val="Normal (Web)"/>
    <w:basedOn w:val="a"/>
    <w:uiPriority w:val="99"/>
    <w:semiHidden/>
    <w:unhideWhenUsed/>
    <w:rsid w:val="00D41B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20%20&#1075;&#1086;&#1076;\2020%20&#1075;&#1086;&#1076;\&#1052;&#1086;&#1085;&#1080;&#1090;&#1086;&#1088;&#1080;&#1085;&#1075;%20&#1050;&#1060;&#1052;%20&#1079;&#1072;%202020%20&#1075;&#1086;&#1076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20%20&#1075;&#1086;&#1076;\2020%20&#1075;&#1086;&#1076;\&#1052;&#1086;&#1085;&#1080;&#1090;&#1086;&#1088;&#1080;&#1085;&#1075;%20&#1050;&#1060;&#1052;%20&#1079;&#1072;%202020%20&#1075;&#1086;&#1076;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20%20&#1075;&#1086;&#1076;\2020%20&#1075;&#1086;&#1076;\&#1052;&#1086;&#1085;&#1080;&#1090;&#1086;&#1088;&#1080;&#1085;&#1075;%20&#1050;&#1060;&#1052;%20&#1079;&#1072;%202020%20&#1075;&#1086;&#1076;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20%20&#1075;&#1086;&#1076;\2020%20&#1075;&#1086;&#1076;\&#1052;&#1086;&#1085;&#1080;&#1090;&#1086;&#1088;&#1080;&#1085;&#1075;%20&#1050;&#1060;&#1052;%20&#1079;&#1072;%202020%20&#1075;&#1086;&#1076;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20%20&#1075;&#1086;&#1076;\2020%20&#1075;&#1086;&#1076;\&#1052;&#1086;&#1085;&#1080;&#1090;&#1086;&#1088;&#1080;&#1085;&#1075;%20&#1050;&#1060;&#1052;%20&#1079;&#1072;%202020%20&#1075;&#1086;&#1076;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20%20&#1075;&#1086;&#1076;\2020%20&#1075;&#1086;&#1076;\&#1052;&#1086;&#1085;&#1080;&#1090;&#1086;&#1088;&#1080;&#1085;&#1075;%20&#1050;&#1060;&#1052;%20&#1079;&#1072;%202020%20&#1075;&#1086;&#1076;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20%20&#1075;&#1086;&#1076;\2020%20&#1075;&#1086;&#1076;\&#1052;&#1086;&#1085;&#1080;&#1090;&#1086;&#1088;&#1080;&#1085;&#1075;%20&#1050;&#1060;&#1052;%20&#1079;&#1072;%202020%20&#1075;&#1086;&#1076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0664169678681184E-4"/>
          <c:y val="0.10495163369596468"/>
          <c:w val="0.70232272932593032"/>
          <c:h val="0.7160757290497697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Удельный вес групп показателей в итоговой оценке мониторинга качества финансового менеджмента
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65100" prst="coolSlant"/>
              <a:bevelB w="165100" prst="coolSlant"/>
            </a:sp3d>
          </c:spPr>
          <c:explosion val="25"/>
          <c:dPt>
            <c:idx val="6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>
                <a:bevelT w="165100" prst="coolSlant"/>
                <a:bevelB w="165100" prst="coolSlant"/>
              </a:sp3d>
            </c:spPr>
          </c:dPt>
          <c:dLbls>
            <c:dLbl>
              <c:idx val="0"/>
              <c:layout>
                <c:manualLayout>
                  <c:x val="-8.7056672161496512E-2"/>
                  <c:y val="9.481094015191560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6602416424886351"/>
                  <c:y val="-0.125401197641814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575424145993442E-2"/>
                  <c:y val="-0.2783769078335172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.11471004695700068"/>
                  <c:y val="-0.21399113980010456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1468024537158754"/>
                  <c:y val="9.6717150638855661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8.3929690102519008E-2"/>
                  <c:y val="8.084329564811465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5.2918409968396279E-2"/>
                  <c:y val="9.504867545267085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Среднесрочное финансовое планирование</c:v>
                </c:pt>
                <c:pt idx="1">
                  <c:v>Исполнение бюджета
в части расходов</c:v>
                </c:pt>
                <c:pt idx="2">
                  <c:v>Исполнение бюджета
в части доходов</c:v>
                </c:pt>
                <c:pt idx="3">
                  <c:v>Учёт и отчётность</c:v>
                </c:pt>
                <c:pt idx="4">
                  <c:v>Контроль и аудит</c:v>
                </c:pt>
                <c:pt idx="5">
                  <c:v>Исполнение судебных актов</c:v>
                </c:pt>
                <c:pt idx="6">
                  <c:v>Управление активами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15</c:v>
                </c:pt>
                <c:pt idx="1">
                  <c:v>27</c:v>
                </c:pt>
                <c:pt idx="2">
                  <c:v>11</c:v>
                </c:pt>
                <c:pt idx="3">
                  <c:v>15</c:v>
                </c:pt>
                <c:pt idx="4">
                  <c:v>18</c:v>
                </c:pt>
                <c:pt idx="5">
                  <c:v>7</c:v>
                </c:pt>
                <c:pt idx="6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62764479318713917"/>
          <c:y val="6.3684309779298787E-2"/>
          <c:w val="0.36961658153971216"/>
          <c:h val="0.82769353477458429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aseline="0">
                <a:latin typeface="+mn-lt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Средние оценки качества финансового менеджмента </a:t>
            </a:r>
          </a:p>
          <a:p>
            <a:pPr>
              <a:defRPr sz="1200" baseline="0">
                <a:latin typeface="+mn-lt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в разрезе групп показателей за 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2020 год, баллы</a:t>
            </a:r>
          </a:p>
        </c:rich>
      </c:tx>
      <c:layout>
        <c:manualLayout>
          <c:xMode val="edge"/>
          <c:yMode val="edge"/>
          <c:x val="0.17898258739412029"/>
          <c:y val="2.4346169653399787E-4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7356743037653918E-2"/>
          <c:y val="0.15719614584216737"/>
          <c:w val="0.70344575743624249"/>
          <c:h val="0.48702553341782145"/>
        </c:manualLayout>
      </c:layout>
      <c:lineChart>
        <c:grouping val="standard"/>
        <c:varyColors val="0"/>
        <c:ser>
          <c:idx val="3"/>
          <c:order val="0"/>
          <c:tx>
            <c:strRef>
              <c:f>Лист1!$B$1</c:f>
              <c:strCache>
                <c:ptCount val="1"/>
                <c:pt idx="0">
                  <c:v>Средние оценки по группам показателей</c:v>
                </c:pt>
              </c:strCache>
            </c:strRef>
          </c:tx>
          <c:spPr>
            <a:ln w="38100">
              <a:solidFill>
                <a:srgbClr val="FF0000"/>
              </a:solidFill>
            </a:ln>
            <a:effectLst/>
          </c:spPr>
          <c:marker>
            <c:symbol val="circle"/>
            <c:size val="9"/>
            <c:spPr>
              <a:solidFill>
                <a:srgbClr val="FF0000"/>
              </a:solidFill>
              <a:ln w="12700">
                <a:solidFill>
                  <a:srgbClr val="FF0000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</c:marker>
          <c:dLbls>
            <c:dLbl>
              <c:idx val="1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849511697112942E-2"/>
                  <c:y val="4.1042162422405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0570387657167724E-2"/>
                  <c:y val="-1.2181532432784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effectLst/>
            </c:spPr>
            <c:txPr>
              <a:bodyPr/>
              <a:lstStyle/>
              <a:p>
                <a:pPr>
                  <a:defRPr b="1" i="0" baseline="0">
                    <a:solidFill>
                      <a:srgbClr val="C00000"/>
                    </a:solidFill>
                    <a:latin typeface="Calibri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среднесрочное финансовое планирование</c:v>
                </c:pt>
                <c:pt idx="1">
                  <c:v>исполнение бюджета 
в части расходов</c:v>
                </c:pt>
                <c:pt idx="2">
                  <c:v>исполнение бюджета 
по доходам</c:v>
                </c:pt>
                <c:pt idx="3">
                  <c:v>учёт и отчётность</c:v>
                </c:pt>
                <c:pt idx="4">
                  <c:v>контроль и аудит</c:v>
                </c:pt>
                <c:pt idx="5">
                  <c:v>исполнение судебных актов</c:v>
                </c:pt>
                <c:pt idx="6">
                  <c:v>управление активами</c:v>
                </c:pt>
              </c:strCache>
            </c:strRef>
          </c:cat>
          <c:val>
            <c:numRef>
              <c:f>Лист1!$B$2:$B$8</c:f>
              <c:numCache>
                <c:formatCode>0.0</c:formatCode>
                <c:ptCount val="7"/>
                <c:pt idx="0">
                  <c:v>94.6</c:v>
                </c:pt>
                <c:pt idx="1">
                  <c:v>79.5</c:v>
                </c:pt>
                <c:pt idx="2">
                  <c:v>76.400000000000006</c:v>
                </c:pt>
                <c:pt idx="3">
                  <c:v>95.6</c:v>
                </c:pt>
                <c:pt idx="4">
                  <c:v>88.2</c:v>
                </c:pt>
                <c:pt idx="5">
                  <c:v>100</c:v>
                </c:pt>
                <c:pt idx="6">
                  <c:v>52.9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Лист1!$C$1</c:f>
              <c:strCache>
                <c:ptCount val="1"/>
                <c:pt idx="0">
                  <c:v>Средняя итоговая оценка</c:v>
                </c:pt>
              </c:strCache>
            </c:strRef>
          </c:tx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443923776721999E-3"/>
                  <c:y val="5.941176238452097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0070C0"/>
                    </a:solidFill>
                    <a:latin typeface="Calibri" panose="020F050202020403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среднесрочное финансовое планирование</c:v>
                </c:pt>
                <c:pt idx="1">
                  <c:v>исполнение бюджета 
в части расходов</c:v>
                </c:pt>
                <c:pt idx="2">
                  <c:v>исполнение бюджета 
по доходам</c:v>
                </c:pt>
                <c:pt idx="3">
                  <c:v>учёт и отчётность</c:v>
                </c:pt>
                <c:pt idx="4">
                  <c:v>контроль и аудит</c:v>
                </c:pt>
                <c:pt idx="5">
                  <c:v>исполнение судебных актов</c:v>
                </c:pt>
                <c:pt idx="6">
                  <c:v>управление активами</c:v>
                </c:pt>
              </c:strCache>
            </c:strRef>
          </c:cat>
          <c:val>
            <c:numRef>
              <c:f>Лист1!$C$2:$C$8</c:f>
              <c:numCache>
                <c:formatCode>0.0</c:formatCode>
                <c:ptCount val="7"/>
                <c:pt idx="0">
                  <c:v>85.3</c:v>
                </c:pt>
                <c:pt idx="1">
                  <c:v>85.3</c:v>
                </c:pt>
                <c:pt idx="2">
                  <c:v>85.3</c:v>
                </c:pt>
                <c:pt idx="3">
                  <c:v>85.3</c:v>
                </c:pt>
                <c:pt idx="4">
                  <c:v>85.3</c:v>
                </c:pt>
                <c:pt idx="5">
                  <c:v>85.3</c:v>
                </c:pt>
                <c:pt idx="6">
                  <c:v>85.3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Лист1!$D$1</c:f>
              <c:strCache>
                <c:ptCount val="1"/>
                <c:pt idx="0">
                  <c:v>Средняя итоговая оценка, скорректиро-ванная на коэффициент сложности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3225306574078623E-3"/>
                  <c:y val="-6.2655139482480334E-3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b="1">
                      <a:solidFill>
                        <a:srgbClr val="00B050"/>
                      </a:solidFill>
                      <a:latin typeface="+mn-lt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+mn-lt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среднесрочное финансовое планирование</c:v>
                </c:pt>
                <c:pt idx="1">
                  <c:v>исполнение бюджета 
в части расходов</c:v>
                </c:pt>
                <c:pt idx="2">
                  <c:v>исполнение бюджета 
по доходам</c:v>
                </c:pt>
                <c:pt idx="3">
                  <c:v>учёт и отчётность</c:v>
                </c:pt>
                <c:pt idx="4">
                  <c:v>контроль и аудит</c:v>
                </c:pt>
                <c:pt idx="5">
                  <c:v>исполнение судебных актов</c:v>
                </c:pt>
                <c:pt idx="6">
                  <c:v>управление активами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89.1</c:v>
                </c:pt>
                <c:pt idx="1">
                  <c:v>89.1</c:v>
                </c:pt>
                <c:pt idx="2">
                  <c:v>89.1</c:v>
                </c:pt>
                <c:pt idx="3">
                  <c:v>89.1</c:v>
                </c:pt>
                <c:pt idx="4">
                  <c:v>89.1</c:v>
                </c:pt>
                <c:pt idx="5">
                  <c:v>89.1</c:v>
                </c:pt>
                <c:pt idx="6">
                  <c:v>89.1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482864"/>
        <c:axId val="160483256"/>
      </c:lineChart>
      <c:catAx>
        <c:axId val="160482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0483256"/>
        <c:crosses val="autoZero"/>
        <c:auto val="0"/>
        <c:lblAlgn val="ctr"/>
        <c:lblOffset val="100"/>
        <c:noMultiLvlLbl val="0"/>
      </c:catAx>
      <c:valAx>
        <c:axId val="160483256"/>
        <c:scaling>
          <c:orientation val="minMax"/>
          <c:max val="105"/>
          <c:min val="30"/>
        </c:scaling>
        <c:delete val="0"/>
        <c:axPos val="l"/>
        <c:majorGridlines/>
        <c:numFmt formatCode="0" sourceLinked="0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0482864"/>
        <c:crosses val="autoZero"/>
        <c:crossBetween val="between"/>
        <c:majorUnit val="15"/>
      </c:valAx>
      <c:spPr>
        <a:solidFill>
          <a:srgbClr val="F79646">
            <a:lumMod val="20000"/>
            <a:lumOff val="80000"/>
          </a:srgbClr>
        </a:solidFill>
        <a:scene3d>
          <a:camera prst="orthographicFront"/>
          <a:lightRig rig="threePt" dir="t"/>
        </a:scene3d>
        <a:sp3d prstMaterial="powder"/>
      </c:spPr>
    </c:plotArea>
    <c:legend>
      <c:legendPos val="r"/>
      <c:layout>
        <c:manualLayout>
          <c:xMode val="edge"/>
          <c:yMode val="edge"/>
          <c:x val="0.79704611402374159"/>
          <c:y val="0.15499690127797819"/>
          <c:w val="0.2010987312483333"/>
          <c:h val="0.80192107718101102"/>
        </c:manualLayout>
      </c:layout>
      <c:overlay val="0"/>
      <c:txPr>
        <a:bodyPr/>
        <a:lstStyle/>
        <a:p>
          <a:pPr>
            <a:defRPr sz="1100" kern="10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4528491924915508E-2"/>
          <c:y val="5.6536155931328255E-2"/>
          <c:w val="0.91707023567223822"/>
          <c:h val="0.45083443913773075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Диапазон!$E$1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2.5917352381355233E-2"/>
                  <c:y val="4.2832167290564091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>
                    <c:manualLayout>
                      <c:w val="0.16536644121189659"/>
                      <c:h val="7.4754098360655732E-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Диапазон!$C$2:$C$38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Диапазон!$E$2:$E$38</c:f>
              <c:numCache>
                <c:formatCode>0.0</c:formatCode>
                <c:ptCount val="37"/>
                <c:pt idx="0">
                  <c:v>94.6</c:v>
                </c:pt>
                <c:pt idx="1">
                  <c:v>94.6</c:v>
                </c:pt>
                <c:pt idx="2">
                  <c:v>94.6</c:v>
                </c:pt>
                <c:pt idx="3">
                  <c:v>94.6</c:v>
                </c:pt>
                <c:pt idx="4">
                  <c:v>94.6</c:v>
                </c:pt>
                <c:pt idx="5">
                  <c:v>94.6</c:v>
                </c:pt>
                <c:pt idx="6">
                  <c:v>94.6</c:v>
                </c:pt>
                <c:pt idx="7">
                  <c:v>94.6</c:v>
                </c:pt>
                <c:pt idx="8">
                  <c:v>94.6</c:v>
                </c:pt>
                <c:pt idx="9">
                  <c:v>94.6</c:v>
                </c:pt>
                <c:pt idx="10">
                  <c:v>94.6</c:v>
                </c:pt>
                <c:pt idx="11">
                  <c:v>94.6</c:v>
                </c:pt>
                <c:pt idx="12">
                  <c:v>94.6</c:v>
                </c:pt>
                <c:pt idx="13">
                  <c:v>94.6</c:v>
                </c:pt>
                <c:pt idx="14">
                  <c:v>94.6</c:v>
                </c:pt>
                <c:pt idx="15">
                  <c:v>94.6</c:v>
                </c:pt>
                <c:pt idx="16">
                  <c:v>94.6</c:v>
                </c:pt>
                <c:pt idx="17">
                  <c:v>94.6</c:v>
                </c:pt>
                <c:pt idx="18">
                  <c:v>94.6</c:v>
                </c:pt>
                <c:pt idx="19">
                  <c:v>94.6</c:v>
                </c:pt>
                <c:pt idx="20">
                  <c:v>94.6</c:v>
                </c:pt>
                <c:pt idx="21">
                  <c:v>94.6</c:v>
                </c:pt>
                <c:pt idx="22">
                  <c:v>94.6</c:v>
                </c:pt>
                <c:pt idx="23">
                  <c:v>94.6</c:v>
                </c:pt>
                <c:pt idx="24">
                  <c:v>94.6</c:v>
                </c:pt>
                <c:pt idx="25">
                  <c:v>94.6</c:v>
                </c:pt>
                <c:pt idx="26" formatCode="0.00">
                  <c:v>94.6</c:v>
                </c:pt>
                <c:pt idx="27">
                  <c:v>94.6</c:v>
                </c:pt>
                <c:pt idx="28">
                  <c:v>94.6</c:v>
                </c:pt>
                <c:pt idx="29">
                  <c:v>94.6</c:v>
                </c:pt>
                <c:pt idx="30">
                  <c:v>94.6</c:v>
                </c:pt>
                <c:pt idx="31">
                  <c:v>94.6</c:v>
                </c:pt>
                <c:pt idx="32">
                  <c:v>94.6</c:v>
                </c:pt>
                <c:pt idx="33">
                  <c:v>94.6</c:v>
                </c:pt>
                <c:pt idx="34">
                  <c:v>94.6</c:v>
                </c:pt>
                <c:pt idx="35">
                  <c:v>94.6</c:v>
                </c:pt>
                <c:pt idx="36">
                  <c:v>94.6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0479728"/>
        <c:axId val="162441184"/>
      </c:lineChart>
      <c:scatterChart>
        <c:scatterStyle val="lineMarker"/>
        <c:varyColors val="0"/>
        <c:ser>
          <c:idx val="1"/>
          <c:order val="0"/>
          <c:tx>
            <c:strRef>
              <c:f>Диапазон!$D$1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1"/>
              </a:solidFill>
              <a:ln>
                <a:solidFill>
                  <a:schemeClr val="accent1"/>
                </a:solidFill>
              </a:ln>
            </c:spPr>
          </c:marker>
          <c:dLbls>
            <c:dLbl>
              <c:idx val="0"/>
              <c:layout>
                <c:manualLayout>
                  <c:x val="-2.3033463711429811E-2"/>
                  <c:y val="-2.359437751004019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1155093506259892E-2"/>
                  <c:y val="-4.396189492706854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356913011192228E-2"/>
                  <c:y val="1.941376016522523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6107717843680756E-2"/>
                  <c:y val="-3.849686330192332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6729417956145457E-2"/>
                  <c:y val="2.188552988253515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2584517631982493E-2"/>
                  <c:y val="2.870127791403123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0566828041991777E-2"/>
                  <c:y val="-5.183198657544856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9697371091145466E-2"/>
                  <c:y val="-2.38143281270169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60293642139256E-2"/>
                  <c:y val="3.316401187556471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9708966922889983E-2"/>
                  <c:y val="-3.4090305924874144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632629034827109E-2"/>
                  <c:y val="2.0640941981699801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3636521028539042E-2"/>
                  <c:y val="-2.6808195936833895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2198867027772757E-2"/>
                  <c:y val="-3.1354795404672786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2.9509459151081052E-2"/>
                  <c:y val="-3.998822770104556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2709165390010259E-2"/>
                  <c:y val="2.48839550793855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2.9717440799933992E-2"/>
                  <c:y val="-3.6377849490125215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4.7756987046118027E-2"/>
                  <c:y val="2.401321801987864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3.3117844126748459E-2"/>
                  <c:y val="2.62955982961146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436892287359577E-2"/>
                      <c:h val="5.9016393442622953E-2"/>
                    </c:manualLayout>
                  </c15:layout>
                </c:ext>
              </c:extLst>
            </c:dLbl>
            <c:dLbl>
              <c:idx val="18"/>
              <c:layout>
                <c:manualLayout>
                  <c:x val="-3.6344755970924195E-2"/>
                  <c:y val="-3.60655737704918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-2.8792598886056831E-2"/>
                  <c:y val="2.4262295081967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3.9324141406708327E-2"/>
                  <c:y val="-4.254736026849103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3.0490793578585175E-2"/>
                  <c:y val="2.03512069188072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4.342207861230607E-2"/>
                  <c:y val="-4.650657028527172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97158500896821E-2"/>
                      <c:h val="3.8032786885245903E-2"/>
                    </c:manualLayout>
                  </c15:layout>
                </c:ext>
              </c:extLst>
            </c:dLbl>
            <c:dLbl>
              <c:idx val="23"/>
              <c:layout>
                <c:manualLayout>
                  <c:x val="-3.3313932614837762E-2"/>
                  <c:y val="2.272487414483025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>
                <c:manualLayout>
                  <c:x val="-3.1735412852492983E-2"/>
                  <c:y val="-4.286500580870013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2.1684056697670789E-2"/>
                  <c:y val="-4.1615283335484712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6"/>
              <c:layout>
                <c:manualLayout>
                  <c:x val="-4.8805369167426851E-2"/>
                  <c:y val="2.345578933780818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7"/>
              <c:layout>
                <c:manualLayout>
                  <c:x val="-3.172533681008257E-2"/>
                  <c:y val="-2.158634538152610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8"/>
              <c:layout>
                <c:manualLayout>
                  <c:x val="-4.020557328379832E-2"/>
                  <c:y val="1.775779011230153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9"/>
              <c:layout>
                <c:manualLayout>
                  <c:x val="-3.028623121345176E-2"/>
                  <c:y val="-3.933207693300632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0"/>
              <c:layout>
                <c:manualLayout>
                  <c:x val="-3.259082844041266E-2"/>
                  <c:y val="2.124404285529882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1"/>
              <c:layout>
                <c:manualLayout>
                  <c:x val="-2.8248635445633018E-2"/>
                  <c:y val="-3.994692138892474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2"/>
              <c:layout>
                <c:manualLayout>
                  <c:x val="-2.6335769201322221E-2"/>
                  <c:y val="1.971818768555570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3"/>
              <c:layout>
                <c:manualLayout>
                  <c:x val="-2.6562779907397017E-2"/>
                  <c:y val="1.982702981799406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4"/>
              <c:layout>
                <c:manualLayout>
                  <c:x val="-3.4354435517140784E-2"/>
                  <c:y val="-3.498830515038079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5"/>
              <c:layout>
                <c:manualLayout>
                  <c:x val="-2.3702474743758136E-2"/>
                  <c:y val="2.124259713437459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6"/>
              <c:layout>
                <c:manualLayout>
                  <c:x val="-1.6626638747473158E-3"/>
                  <c:y val="-3.820131663869885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strRef>
              <c:f>Диапазон!$C$2:$C$38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Диапазон!$D$2:$D$38</c:f>
              <c:numCache>
                <c:formatCode>0.0</c:formatCode>
                <c:ptCount val="37"/>
                <c:pt idx="0">
                  <c:v>79.099999999999994</c:v>
                </c:pt>
                <c:pt idx="1">
                  <c:v>99.2</c:v>
                </c:pt>
                <c:pt idx="2">
                  <c:v>99.4</c:v>
                </c:pt>
                <c:pt idx="3">
                  <c:v>99.7</c:v>
                </c:pt>
                <c:pt idx="4" formatCode="0">
                  <c:v>91</c:v>
                </c:pt>
                <c:pt idx="5">
                  <c:v>88.9</c:v>
                </c:pt>
                <c:pt idx="6">
                  <c:v>98.4</c:v>
                </c:pt>
                <c:pt idx="7">
                  <c:v>96.6</c:v>
                </c:pt>
                <c:pt idx="8">
                  <c:v>91.4</c:v>
                </c:pt>
                <c:pt idx="9">
                  <c:v>99.5</c:v>
                </c:pt>
                <c:pt idx="10">
                  <c:v>93.7</c:v>
                </c:pt>
                <c:pt idx="11">
                  <c:v>83.3</c:v>
                </c:pt>
                <c:pt idx="12">
                  <c:v>93.4</c:v>
                </c:pt>
                <c:pt idx="13" formatCode="0">
                  <c:v>99</c:v>
                </c:pt>
                <c:pt idx="14">
                  <c:v>82.1</c:v>
                </c:pt>
                <c:pt idx="15">
                  <c:v>99.3</c:v>
                </c:pt>
                <c:pt idx="16">
                  <c:v>94.3</c:v>
                </c:pt>
                <c:pt idx="17">
                  <c:v>87.4</c:v>
                </c:pt>
                <c:pt idx="18">
                  <c:v>99.7</c:v>
                </c:pt>
                <c:pt idx="19">
                  <c:v>78.7</c:v>
                </c:pt>
                <c:pt idx="20">
                  <c:v>99.2</c:v>
                </c:pt>
                <c:pt idx="21" formatCode="0">
                  <c:v>99</c:v>
                </c:pt>
                <c:pt idx="22">
                  <c:v>98.1</c:v>
                </c:pt>
                <c:pt idx="23">
                  <c:v>99.1</c:v>
                </c:pt>
                <c:pt idx="24" formatCode="0">
                  <c:v>99</c:v>
                </c:pt>
                <c:pt idx="25">
                  <c:v>98.8</c:v>
                </c:pt>
                <c:pt idx="26">
                  <c:v>93.5</c:v>
                </c:pt>
                <c:pt idx="27">
                  <c:v>96.3</c:v>
                </c:pt>
                <c:pt idx="28">
                  <c:v>84.1</c:v>
                </c:pt>
                <c:pt idx="29" formatCode="0">
                  <c:v>99</c:v>
                </c:pt>
                <c:pt idx="30">
                  <c:v>99.1</c:v>
                </c:pt>
                <c:pt idx="31">
                  <c:v>99.4</c:v>
                </c:pt>
                <c:pt idx="32">
                  <c:v>99.1</c:v>
                </c:pt>
                <c:pt idx="33">
                  <c:v>83.9</c:v>
                </c:pt>
                <c:pt idx="34">
                  <c:v>99.6</c:v>
                </c:pt>
                <c:pt idx="35">
                  <c:v>98.7</c:v>
                </c:pt>
                <c:pt idx="36">
                  <c:v>99.1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0479728"/>
        <c:axId val="162441184"/>
      </c:scatterChart>
      <c:catAx>
        <c:axId val="1604797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8460349448403378"/>
              <c:y val="0.95574411623961364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2441184"/>
        <c:crosses val="autoZero"/>
        <c:auto val="0"/>
        <c:lblAlgn val="ctr"/>
        <c:lblOffset val="300"/>
        <c:tickLblSkip val="1"/>
        <c:tickMarkSkip val="1"/>
        <c:noMultiLvlLbl val="0"/>
      </c:catAx>
      <c:valAx>
        <c:axId val="162441184"/>
        <c:scaling>
          <c:orientation val="minMax"/>
          <c:max val="102"/>
          <c:min val="5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3.4094418936419231E-3"/>
              <c:y val="0.17359754063891183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0479728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9632263469190412"/>
          <c:y val="0.38353158642054991"/>
          <c:w val="0.18719506367772631"/>
          <c:h val="8.1804353185133682E-2"/>
        </c:manualLayout>
      </c:layout>
      <c:overlay val="1"/>
      <c:txPr>
        <a:bodyPr/>
        <a:lstStyle/>
        <a:p>
          <a:pPr>
            <a:defRPr sz="7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5031441637701146E-2"/>
          <c:y val="2.0154060675025134E-2"/>
          <c:w val="0.9226289712464939"/>
          <c:h val="0.52102822271460525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Диапазон!$E$46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2.8224588169706747E-2"/>
                  <c:y val="5.6489110706912288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>
                    <c:manualLayout>
                      <c:w val="0.11627124976648606"/>
                      <c:h val="0.10358167977037315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Диапазон!$C$47:$C$83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Диапазон!$E$47:$E$83</c:f>
              <c:numCache>
                <c:formatCode>0.0</c:formatCode>
                <c:ptCount val="37"/>
                <c:pt idx="0">
                  <c:v>79.5</c:v>
                </c:pt>
                <c:pt idx="1">
                  <c:v>79.5</c:v>
                </c:pt>
                <c:pt idx="2">
                  <c:v>79.5</c:v>
                </c:pt>
                <c:pt idx="3">
                  <c:v>79.5</c:v>
                </c:pt>
                <c:pt idx="4">
                  <c:v>79.5</c:v>
                </c:pt>
                <c:pt idx="5">
                  <c:v>79.5</c:v>
                </c:pt>
                <c:pt idx="6">
                  <c:v>79.5</c:v>
                </c:pt>
                <c:pt idx="7">
                  <c:v>79.5</c:v>
                </c:pt>
                <c:pt idx="8">
                  <c:v>79.5</c:v>
                </c:pt>
                <c:pt idx="9">
                  <c:v>79.5</c:v>
                </c:pt>
                <c:pt idx="10">
                  <c:v>79.5</c:v>
                </c:pt>
                <c:pt idx="11">
                  <c:v>79.5</c:v>
                </c:pt>
                <c:pt idx="12">
                  <c:v>79.5</c:v>
                </c:pt>
                <c:pt idx="13">
                  <c:v>79.5</c:v>
                </c:pt>
                <c:pt idx="14">
                  <c:v>79.5</c:v>
                </c:pt>
                <c:pt idx="15">
                  <c:v>79.5</c:v>
                </c:pt>
                <c:pt idx="16">
                  <c:v>79.5</c:v>
                </c:pt>
                <c:pt idx="17">
                  <c:v>79.5</c:v>
                </c:pt>
                <c:pt idx="18">
                  <c:v>79.5</c:v>
                </c:pt>
                <c:pt idx="19">
                  <c:v>79.5</c:v>
                </c:pt>
                <c:pt idx="20">
                  <c:v>79.5</c:v>
                </c:pt>
                <c:pt idx="21">
                  <c:v>79.5</c:v>
                </c:pt>
                <c:pt idx="22">
                  <c:v>79.5</c:v>
                </c:pt>
                <c:pt idx="23">
                  <c:v>79.5</c:v>
                </c:pt>
                <c:pt idx="24">
                  <c:v>79.5</c:v>
                </c:pt>
                <c:pt idx="25">
                  <c:v>79.5</c:v>
                </c:pt>
                <c:pt idx="26">
                  <c:v>79.5</c:v>
                </c:pt>
                <c:pt idx="27">
                  <c:v>79.5</c:v>
                </c:pt>
                <c:pt idx="28">
                  <c:v>79.5</c:v>
                </c:pt>
                <c:pt idx="29">
                  <c:v>79.5</c:v>
                </c:pt>
                <c:pt idx="30">
                  <c:v>79.5</c:v>
                </c:pt>
                <c:pt idx="31">
                  <c:v>79.5</c:v>
                </c:pt>
                <c:pt idx="32">
                  <c:v>79.5</c:v>
                </c:pt>
                <c:pt idx="33">
                  <c:v>79.5</c:v>
                </c:pt>
                <c:pt idx="34">
                  <c:v>79.5</c:v>
                </c:pt>
                <c:pt idx="35">
                  <c:v>79.5</c:v>
                </c:pt>
                <c:pt idx="36">
                  <c:v>79.5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439616"/>
        <c:axId val="162440400"/>
      </c:lineChart>
      <c:scatterChart>
        <c:scatterStyle val="lineMarker"/>
        <c:varyColors val="0"/>
        <c:ser>
          <c:idx val="1"/>
          <c:order val="0"/>
          <c:tx>
            <c:strRef>
              <c:f>Диапазон!$D$46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2"/>
              </a:solidFill>
              <a:ln>
                <a:solidFill>
                  <a:schemeClr val="accent2"/>
                </a:solidFill>
              </a:ln>
            </c:spPr>
          </c:marker>
          <c:dLbls>
            <c:dLbl>
              <c:idx val="0"/>
              <c:layout>
                <c:manualLayout>
                  <c:x val="-2.861608252639259E-2"/>
                  <c:y val="-3.406379944615720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596574736956685E-2"/>
                  <c:y val="2.151825548334329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182408569188519E-2"/>
                  <c:y val="-3.878873770731647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2750507111326198E-2"/>
                  <c:y val="-2.921494282657246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2224920605268076E-2"/>
                  <c:y val="2.5184687709872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217857085069672E-2"/>
                  <c:y val="3.115110107542802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9456276633457465E-2"/>
                  <c:y val="2.284751343624021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428445618670189E-2"/>
                  <c:y val="1.899115307681975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79898827796908E-2"/>
                  <c:y val="3.114264007798219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0203668264612857E-2"/>
                  <c:y val="2.561866637053175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8822310250635821E-2"/>
                  <c:y val="-2.887562157483840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415347343678061E-2"/>
                  <c:y val="-2.916364802955710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2.7684674573533716E-2"/>
                  <c:y val="-2.264462576832026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3.2241983669470793E-2"/>
                  <c:y val="2.8807228512151225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6848569718062281E-2"/>
                  <c:y val="-2.805460811221136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3.0727195435336134E-2"/>
                  <c:y val="-2.609724153856189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3.833555692517699E-2"/>
                  <c:y val="-2.587002850298514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1.8053720827829214E-2"/>
                  <c:y val="-2.166897187644077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-3.63606543390931E-2"/>
                  <c:y val="-2.363138959544097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-3.1237322216845002E-2"/>
                  <c:y val="2.627049941482885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3.5560308370756848E-2"/>
                  <c:y val="-2.776472484181708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2.5419405705241451E-2"/>
                  <c:y val="2.405520163592425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3.7428445618670189E-2"/>
                  <c:y val="-2.741935483870967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>
                <c:manualLayout>
                  <c:x val="-3.7855584696785072E-2"/>
                  <c:y val="-2.008173725569964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2.3217910178665049E-2"/>
                  <c:y val="1.570751788806482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9"/>
              <c:layout>
                <c:manualLayout>
                  <c:x val="-5.4907322555164444E-2"/>
                  <c:y val="-2.6106199473100306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0"/>
              <c:layout>
                <c:manualLayout>
                  <c:x val="-3.2144429766622636E-2"/>
                  <c:y val="2.204301075268813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1"/>
              <c:layout>
                <c:manualLayout>
                  <c:x val="-4.716981132075472E-2"/>
                  <c:y val="-3.1823287158367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2"/>
              <c:layout>
                <c:manualLayout>
                  <c:x val="-2.2884363908088921E-2"/>
                  <c:y val="-3.6815175340072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4"/>
              <c:layout>
                <c:manualLayout>
                  <c:x val="-1.7280029889781431E-2"/>
                  <c:y val="-3.4319231249220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6"/>
              <c:layout>
                <c:manualLayout>
                  <c:x val="-1.3699324900092501E-16"/>
                  <c:y val="4.0559091476350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Диапазон!$C$47:$C$83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Диапазон!$D$47:$D$83</c:f>
              <c:numCache>
                <c:formatCode>0.0</c:formatCode>
                <c:ptCount val="37"/>
                <c:pt idx="0">
                  <c:v>87.9</c:v>
                </c:pt>
                <c:pt idx="1">
                  <c:v>87.4</c:v>
                </c:pt>
                <c:pt idx="2" formatCode="0">
                  <c:v>93</c:v>
                </c:pt>
                <c:pt idx="3">
                  <c:v>91.6</c:v>
                </c:pt>
                <c:pt idx="4">
                  <c:v>87.9</c:v>
                </c:pt>
                <c:pt idx="5">
                  <c:v>59.1</c:v>
                </c:pt>
                <c:pt idx="6">
                  <c:v>66.900000000000006</c:v>
                </c:pt>
                <c:pt idx="7">
                  <c:v>75.099999999999994</c:v>
                </c:pt>
                <c:pt idx="8">
                  <c:v>56.8</c:v>
                </c:pt>
                <c:pt idx="9">
                  <c:v>65.400000000000006</c:v>
                </c:pt>
                <c:pt idx="10">
                  <c:v>68.599999999999994</c:v>
                </c:pt>
                <c:pt idx="11">
                  <c:v>88.3</c:v>
                </c:pt>
                <c:pt idx="12">
                  <c:v>85.3</c:v>
                </c:pt>
                <c:pt idx="13">
                  <c:v>80.7</c:v>
                </c:pt>
                <c:pt idx="14">
                  <c:v>93.1</c:v>
                </c:pt>
                <c:pt idx="15">
                  <c:v>81.400000000000006</c:v>
                </c:pt>
                <c:pt idx="16">
                  <c:v>32.700000000000003</c:v>
                </c:pt>
                <c:pt idx="17">
                  <c:v>95.1</c:v>
                </c:pt>
                <c:pt idx="18">
                  <c:v>65.099999999999994</c:v>
                </c:pt>
                <c:pt idx="19">
                  <c:v>58.7</c:v>
                </c:pt>
                <c:pt idx="20">
                  <c:v>92.3</c:v>
                </c:pt>
                <c:pt idx="21">
                  <c:v>73.8</c:v>
                </c:pt>
                <c:pt idx="22">
                  <c:v>73.400000000000006</c:v>
                </c:pt>
                <c:pt idx="23">
                  <c:v>88.6</c:v>
                </c:pt>
                <c:pt idx="24">
                  <c:v>96.4</c:v>
                </c:pt>
                <c:pt idx="25">
                  <c:v>93.3</c:v>
                </c:pt>
                <c:pt idx="26">
                  <c:v>69.400000000000006</c:v>
                </c:pt>
                <c:pt idx="27">
                  <c:v>95.8</c:v>
                </c:pt>
                <c:pt idx="28">
                  <c:v>72.3</c:v>
                </c:pt>
                <c:pt idx="29">
                  <c:v>81.099999999999994</c:v>
                </c:pt>
                <c:pt idx="30">
                  <c:v>87.1</c:v>
                </c:pt>
                <c:pt idx="31">
                  <c:v>88.9</c:v>
                </c:pt>
                <c:pt idx="32">
                  <c:v>87.8</c:v>
                </c:pt>
                <c:pt idx="33">
                  <c:v>81.099999999999994</c:v>
                </c:pt>
                <c:pt idx="34">
                  <c:v>87.9</c:v>
                </c:pt>
                <c:pt idx="35">
                  <c:v>79.8</c:v>
                </c:pt>
                <c:pt idx="36">
                  <c:v>73.3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2439616"/>
        <c:axId val="162440400"/>
      </c:scatterChart>
      <c:catAx>
        <c:axId val="1624396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6910605130765526"/>
              <c:y val="0.95574403821928899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2440400"/>
        <c:crosses val="autoZero"/>
        <c:auto val="0"/>
        <c:lblAlgn val="ctr"/>
        <c:lblOffset val="100"/>
        <c:noMultiLvlLbl val="0"/>
      </c:catAx>
      <c:valAx>
        <c:axId val="162440400"/>
        <c:scaling>
          <c:orientation val="minMax"/>
          <c:max val="100"/>
          <c:min val="3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699163468569E-3"/>
              <c:y val="0.14969631042469372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2439616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9343528023876519"/>
          <c:y val="0.42501699604046145"/>
          <c:w val="0.18719506825187138"/>
          <c:h val="8.1804525471660394E-2"/>
        </c:manualLayout>
      </c:layout>
      <c:overlay val="1"/>
      <c:txPr>
        <a:bodyPr/>
        <a:lstStyle/>
        <a:p>
          <a:pPr>
            <a:defRPr sz="7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176833000002923E-2"/>
          <c:y val="6.0066422390270525E-2"/>
          <c:w val="0.90853829773053596"/>
          <c:h val="0.44619734414386331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Диапазон!$E$93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-2.9237664090798615E-2"/>
                  <c:y val="5.284706738390374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Диапазон!$C$94:$C$129</c:f>
              <c:strCache>
                <c:ptCount val="36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Юграконтроль</c:v>
                </c:pt>
                <c:pt idx="32">
                  <c:v>Депгосслужбы</c:v>
                </c:pt>
                <c:pt idx="33">
                  <c:v>Деппроектов Югры</c:v>
                </c:pt>
                <c:pt idx="34">
                  <c:v>Аппарат Губернатора Югры</c:v>
                </c:pt>
                <c:pt idx="35">
                  <c:v>Деппромышленности Югры</c:v>
                </c:pt>
              </c:strCache>
            </c:strRef>
          </c:cat>
          <c:val>
            <c:numRef>
              <c:f>Диапазон!$E$94:$E$129</c:f>
              <c:numCache>
                <c:formatCode>0.0</c:formatCode>
                <c:ptCount val="36"/>
                <c:pt idx="0">
                  <c:v>76.400000000000006</c:v>
                </c:pt>
                <c:pt idx="1">
                  <c:v>76.400000000000006</c:v>
                </c:pt>
                <c:pt idx="2">
                  <c:v>76.400000000000006</c:v>
                </c:pt>
                <c:pt idx="3">
                  <c:v>76.400000000000006</c:v>
                </c:pt>
                <c:pt idx="4">
                  <c:v>76.400000000000006</c:v>
                </c:pt>
                <c:pt idx="5">
                  <c:v>76.400000000000006</c:v>
                </c:pt>
                <c:pt idx="6">
                  <c:v>76.400000000000006</c:v>
                </c:pt>
                <c:pt idx="7">
                  <c:v>76.400000000000006</c:v>
                </c:pt>
                <c:pt idx="8">
                  <c:v>76.400000000000006</c:v>
                </c:pt>
                <c:pt idx="9">
                  <c:v>76.400000000000006</c:v>
                </c:pt>
                <c:pt idx="10">
                  <c:v>76.400000000000006</c:v>
                </c:pt>
                <c:pt idx="11">
                  <c:v>76.400000000000006</c:v>
                </c:pt>
                <c:pt idx="12">
                  <c:v>76.400000000000006</c:v>
                </c:pt>
                <c:pt idx="13">
                  <c:v>76.400000000000006</c:v>
                </c:pt>
                <c:pt idx="14">
                  <c:v>76.400000000000006</c:v>
                </c:pt>
                <c:pt idx="15">
                  <c:v>76.400000000000006</c:v>
                </c:pt>
                <c:pt idx="16">
                  <c:v>76.400000000000006</c:v>
                </c:pt>
                <c:pt idx="17">
                  <c:v>76.400000000000006</c:v>
                </c:pt>
                <c:pt idx="18">
                  <c:v>76.400000000000006</c:v>
                </c:pt>
                <c:pt idx="19">
                  <c:v>76.400000000000006</c:v>
                </c:pt>
                <c:pt idx="20">
                  <c:v>76.400000000000006</c:v>
                </c:pt>
                <c:pt idx="21">
                  <c:v>76.400000000000006</c:v>
                </c:pt>
                <c:pt idx="22">
                  <c:v>76.400000000000006</c:v>
                </c:pt>
                <c:pt idx="23">
                  <c:v>76.400000000000006</c:v>
                </c:pt>
                <c:pt idx="24">
                  <c:v>76.400000000000006</c:v>
                </c:pt>
                <c:pt idx="25">
                  <c:v>76.400000000000006</c:v>
                </c:pt>
                <c:pt idx="26">
                  <c:v>76.400000000000006</c:v>
                </c:pt>
                <c:pt idx="27">
                  <c:v>76.400000000000006</c:v>
                </c:pt>
                <c:pt idx="28">
                  <c:v>76.400000000000006</c:v>
                </c:pt>
                <c:pt idx="29">
                  <c:v>76.400000000000006</c:v>
                </c:pt>
                <c:pt idx="30">
                  <c:v>76.400000000000006</c:v>
                </c:pt>
                <c:pt idx="31">
                  <c:v>76.400000000000006</c:v>
                </c:pt>
                <c:pt idx="32">
                  <c:v>76.400000000000006</c:v>
                </c:pt>
                <c:pt idx="33">
                  <c:v>76.400000000000006</c:v>
                </c:pt>
                <c:pt idx="34">
                  <c:v>76.400000000000006</c:v>
                </c:pt>
                <c:pt idx="35">
                  <c:v>76.400000000000006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441968"/>
        <c:axId val="162440008"/>
      </c:lineChart>
      <c:scatterChart>
        <c:scatterStyle val="lineMarker"/>
        <c:varyColors val="0"/>
        <c:ser>
          <c:idx val="1"/>
          <c:order val="0"/>
          <c:tx>
            <c:strRef>
              <c:f>Диапазон!$D$93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3"/>
              </a:solidFill>
              <a:ln>
                <a:solidFill>
                  <a:schemeClr val="accent3"/>
                </a:solidFill>
              </a:ln>
            </c:spPr>
          </c:marker>
          <c:dLbls>
            <c:dLbl>
              <c:idx val="0"/>
              <c:layout>
                <c:manualLayout>
                  <c:x val="-2.7040172414297972E-2"/>
                  <c:y val="2.497461084691146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3321317821512567E-2"/>
                  <c:y val="2.661448507055428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3070221930700463E-2"/>
                  <c:y val="-3.57514617603492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8899599710690681E-2"/>
                  <c:y val="-3.675185156310906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2819126039888376E-2"/>
                  <c:y val="-3.511176944466102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8245081302360449E-2"/>
                  <c:y val="-3.511176944466102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2.4929649227093242E-2"/>
                  <c:y val="-3.511176944466102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2.7040172414297972E-2"/>
                  <c:y val="-3.775203347106365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2.6789076523485816E-2"/>
                  <c:y val="-3.675185156310906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3.236735841266402E-2"/>
                  <c:y val="-3.775203347106364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3.0507931116271442E-2"/>
                  <c:y val="2.397422104415165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8"/>
              <c:layout>
                <c:manualLayout>
                  <c:x val="-2.8648503819878594E-2"/>
                  <c:y val="-3.675185156310906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5"/>
              <c:layout>
                <c:manualLayout>
                  <c:x val="-6.9866150516979357E-3"/>
                  <c:y val="-3.839172578675190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6"/>
              <c:layout>
                <c:manualLayout>
                  <c:x val="-4.7870976320951703E-4"/>
                  <c:y val="-1.599015990159901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Диапазон!$C$94:$C$129</c:f>
              <c:strCache>
                <c:ptCount val="36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Юграконтроль</c:v>
                </c:pt>
                <c:pt idx="32">
                  <c:v>Депгосслужбы</c:v>
                </c:pt>
                <c:pt idx="33">
                  <c:v>Деппроектов Югры</c:v>
                </c:pt>
                <c:pt idx="34">
                  <c:v>Аппарат Губернатора Югры</c:v>
                </c:pt>
                <c:pt idx="35">
                  <c:v>Деппромышленности Югры</c:v>
                </c:pt>
              </c:strCache>
            </c:strRef>
          </c:xVal>
          <c:yVal>
            <c:numRef>
              <c:f>Диапазон!$D$94:$D$129</c:f>
              <c:numCache>
                <c:formatCode>0</c:formatCode>
                <c:ptCount val="36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75</c:v>
                </c:pt>
                <c:pt idx="5">
                  <c:v>75</c:v>
                </c:pt>
                <c:pt idx="6">
                  <c:v>75</c:v>
                </c:pt>
                <c:pt idx="7">
                  <c:v>50</c:v>
                </c:pt>
                <c:pt idx="8">
                  <c:v>75</c:v>
                </c:pt>
                <c:pt idx="9">
                  <c:v>75</c:v>
                </c:pt>
                <c:pt idx="10">
                  <c:v>75</c:v>
                </c:pt>
                <c:pt idx="11">
                  <c:v>75</c:v>
                </c:pt>
                <c:pt idx="12">
                  <c:v>50</c:v>
                </c:pt>
                <c:pt idx="13">
                  <c:v>75</c:v>
                </c:pt>
                <c:pt idx="14">
                  <c:v>75</c:v>
                </c:pt>
                <c:pt idx="15">
                  <c:v>75</c:v>
                </c:pt>
                <c:pt idx="16">
                  <c:v>50</c:v>
                </c:pt>
                <c:pt idx="17">
                  <c:v>100</c:v>
                </c:pt>
                <c:pt idx="18">
                  <c:v>50</c:v>
                </c:pt>
                <c:pt idx="19">
                  <c:v>50</c:v>
                </c:pt>
                <c:pt idx="20">
                  <c:v>75</c:v>
                </c:pt>
                <c:pt idx="21">
                  <c:v>75</c:v>
                </c:pt>
                <c:pt idx="22">
                  <c:v>100</c:v>
                </c:pt>
                <c:pt idx="23">
                  <c:v>50</c:v>
                </c:pt>
                <c:pt idx="24">
                  <c:v>100</c:v>
                </c:pt>
                <c:pt idx="25">
                  <c:v>100</c:v>
                </c:pt>
                <c:pt idx="26">
                  <c:v>75</c:v>
                </c:pt>
                <c:pt idx="27">
                  <c:v>100</c:v>
                </c:pt>
                <c:pt idx="28">
                  <c:v>75</c:v>
                </c:pt>
                <c:pt idx="29">
                  <c:v>75</c:v>
                </c:pt>
                <c:pt idx="30">
                  <c:v>100</c:v>
                </c:pt>
                <c:pt idx="31">
                  <c:v>50</c:v>
                </c:pt>
                <c:pt idx="32">
                  <c:v>75</c:v>
                </c:pt>
                <c:pt idx="33">
                  <c:v>100</c:v>
                </c:pt>
                <c:pt idx="34">
                  <c:v>25</c:v>
                </c:pt>
                <c:pt idx="35">
                  <c:v>75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2441968"/>
        <c:axId val="162440008"/>
      </c:scatterChart>
      <c:catAx>
        <c:axId val="16244196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ГАДБ</a:t>
                </a:r>
              </a:p>
            </c:rich>
          </c:tx>
          <c:layout>
            <c:manualLayout>
              <c:xMode val="edge"/>
              <c:yMode val="edge"/>
              <c:x val="0.49120827635481967"/>
              <c:y val="0.95341243730672276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2440008"/>
        <c:crosses val="autoZero"/>
        <c:auto val="0"/>
        <c:lblAlgn val="ctr"/>
        <c:lblOffset val="100"/>
        <c:noMultiLvlLbl val="0"/>
      </c:catAx>
      <c:valAx>
        <c:axId val="162440008"/>
        <c:scaling>
          <c:orientation val="minMax"/>
          <c:max val="105"/>
          <c:min val="2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305030995335E-3"/>
              <c:y val="0.12010166055975677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2441968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10752233508929643"/>
          <c:y val="0.41355682024895402"/>
          <c:w val="0.18719502040532027"/>
          <c:h val="8.180440544562928E-2"/>
        </c:manualLayout>
      </c:layout>
      <c:overlay val="1"/>
      <c:txPr>
        <a:bodyPr/>
        <a:lstStyle/>
        <a:p>
          <a:pPr>
            <a:defRPr sz="7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9135043880962652E-2"/>
          <c:y val="6.9266735597444271E-2"/>
          <c:w val="0.90853829773053596"/>
          <c:h val="0.46271030554872888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Диапазон!$E$141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-1.4516133674080348E-2"/>
                  <c:y val="3.301610607806618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Диапазон!$C$142:$C$178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Диапазон!$E$142:$E$178</c:f>
              <c:numCache>
                <c:formatCode>0.0</c:formatCode>
                <c:ptCount val="37"/>
                <c:pt idx="0">
                  <c:v>95.6</c:v>
                </c:pt>
                <c:pt idx="1">
                  <c:v>95.6</c:v>
                </c:pt>
                <c:pt idx="2">
                  <c:v>95.6</c:v>
                </c:pt>
                <c:pt idx="3">
                  <c:v>95.6</c:v>
                </c:pt>
                <c:pt idx="4">
                  <c:v>95.6</c:v>
                </c:pt>
                <c:pt idx="5">
                  <c:v>95.6</c:v>
                </c:pt>
                <c:pt idx="6">
                  <c:v>95.6</c:v>
                </c:pt>
                <c:pt idx="7">
                  <c:v>95.6</c:v>
                </c:pt>
                <c:pt idx="8">
                  <c:v>95.6</c:v>
                </c:pt>
                <c:pt idx="9">
                  <c:v>95.6</c:v>
                </c:pt>
                <c:pt idx="10">
                  <c:v>95.6</c:v>
                </c:pt>
                <c:pt idx="11">
                  <c:v>95.6</c:v>
                </c:pt>
                <c:pt idx="12">
                  <c:v>95.6</c:v>
                </c:pt>
                <c:pt idx="13">
                  <c:v>95.6</c:v>
                </c:pt>
                <c:pt idx="14">
                  <c:v>95.6</c:v>
                </c:pt>
                <c:pt idx="15">
                  <c:v>95.6</c:v>
                </c:pt>
                <c:pt idx="16">
                  <c:v>95.6</c:v>
                </c:pt>
                <c:pt idx="17">
                  <c:v>95.6</c:v>
                </c:pt>
                <c:pt idx="18">
                  <c:v>95.6</c:v>
                </c:pt>
                <c:pt idx="19">
                  <c:v>95.6</c:v>
                </c:pt>
                <c:pt idx="20">
                  <c:v>95.6</c:v>
                </c:pt>
                <c:pt idx="21">
                  <c:v>95.6</c:v>
                </c:pt>
                <c:pt idx="22">
                  <c:v>95.6</c:v>
                </c:pt>
                <c:pt idx="23">
                  <c:v>95.6</c:v>
                </c:pt>
                <c:pt idx="24">
                  <c:v>95.6</c:v>
                </c:pt>
                <c:pt idx="25">
                  <c:v>95.6</c:v>
                </c:pt>
                <c:pt idx="26">
                  <c:v>95.6</c:v>
                </c:pt>
                <c:pt idx="27">
                  <c:v>95.6</c:v>
                </c:pt>
                <c:pt idx="28">
                  <c:v>95.6</c:v>
                </c:pt>
                <c:pt idx="29">
                  <c:v>95.6</c:v>
                </c:pt>
                <c:pt idx="30">
                  <c:v>95.6</c:v>
                </c:pt>
                <c:pt idx="31">
                  <c:v>95.6</c:v>
                </c:pt>
                <c:pt idx="32">
                  <c:v>95.6</c:v>
                </c:pt>
                <c:pt idx="33">
                  <c:v>95.6</c:v>
                </c:pt>
                <c:pt idx="34">
                  <c:v>95.6</c:v>
                </c:pt>
                <c:pt idx="35">
                  <c:v>95.6</c:v>
                </c:pt>
                <c:pt idx="36">
                  <c:v>95.6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442752"/>
        <c:axId val="162439224"/>
      </c:lineChart>
      <c:scatterChart>
        <c:scatterStyle val="lineMarker"/>
        <c:varyColors val="0"/>
        <c:ser>
          <c:idx val="1"/>
          <c:order val="0"/>
          <c:tx>
            <c:strRef>
              <c:f>Диапазон!$D$141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4"/>
              </a:solidFill>
              <a:ln>
                <a:solidFill>
                  <a:schemeClr val="accent4"/>
                </a:solidFill>
              </a:ln>
            </c:spPr>
          </c:marker>
          <c:dLbls>
            <c:dLbl>
              <c:idx val="1"/>
              <c:layout>
                <c:manualLayout>
                  <c:x val="-3.2894736842105261E-2"/>
                  <c:y val="2.3563877213093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894736842105247E-2"/>
                  <c:y val="2.35638772130938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1067251461988302E-2"/>
                  <c:y val="2.865876958349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3.1067251461988302E-2"/>
                  <c:y val="2.865876958349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-3.1067251461988302E-2"/>
                  <c:y val="2.865876958349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2.9239766081871343E-2"/>
                  <c:y val="2.865876958349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2.9239766081871479E-2"/>
                  <c:y val="2.865876958349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6"/>
              <c:layout>
                <c:manualLayout>
                  <c:x val="-3.2894736842105261E-2"/>
                  <c:y val="2.611132339829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8"/>
              <c:layout>
                <c:manualLayout>
                  <c:x val="-3.2894736842105261E-2"/>
                  <c:y val="2.611132339829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0"/>
              <c:layout>
                <c:manualLayout>
                  <c:x val="-3.2894736842105261E-2"/>
                  <c:y val="2.611132339829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2"/>
              <c:layout>
                <c:manualLayout>
                  <c:x val="-3.1067251461988302E-2"/>
                  <c:y val="2.611132339829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4"/>
              <c:layout>
                <c:manualLayout>
                  <c:x val="-3.1067251461988302E-2"/>
                  <c:y val="2.865876958349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6"/>
              <c:layout>
                <c:manualLayout>
                  <c:x val="-7.2431735506747206E-3"/>
                  <c:y val="2.865876958349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Диапазон!$C$142:$C$178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Диапазон!$D$142:$D$178</c:f>
              <c:numCache>
                <c:formatCode>0</c:formatCode>
                <c:ptCount val="3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73</c:v>
                </c:pt>
                <c:pt idx="6">
                  <c:v>80</c:v>
                </c:pt>
                <c:pt idx="7">
                  <c:v>80</c:v>
                </c:pt>
                <c:pt idx="8">
                  <c:v>80</c:v>
                </c:pt>
                <c:pt idx="9">
                  <c:v>100</c:v>
                </c:pt>
                <c:pt idx="10">
                  <c:v>80</c:v>
                </c:pt>
                <c:pt idx="11">
                  <c:v>100</c:v>
                </c:pt>
                <c:pt idx="12">
                  <c:v>73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73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  <c:pt idx="28">
                  <c:v>100</c:v>
                </c:pt>
                <c:pt idx="29">
                  <c:v>100</c:v>
                </c:pt>
                <c:pt idx="30">
                  <c:v>100</c:v>
                </c:pt>
                <c:pt idx="31">
                  <c:v>100</c:v>
                </c:pt>
                <c:pt idx="32">
                  <c:v>100</c:v>
                </c:pt>
                <c:pt idx="33">
                  <c:v>100</c:v>
                </c:pt>
                <c:pt idx="34">
                  <c:v>100</c:v>
                </c:pt>
                <c:pt idx="35">
                  <c:v>100</c:v>
                </c:pt>
                <c:pt idx="36">
                  <c:v>100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2442752"/>
        <c:axId val="162439224"/>
      </c:scatterChart>
      <c:catAx>
        <c:axId val="16244275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835788207395128"/>
              <c:y val="0.93026957797642507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2439224"/>
        <c:crosses val="autoZero"/>
        <c:auto val="0"/>
        <c:lblAlgn val="ctr"/>
        <c:lblOffset val="100"/>
        <c:noMultiLvlLbl val="0"/>
      </c:catAx>
      <c:valAx>
        <c:axId val="162439224"/>
        <c:scaling>
          <c:orientation val="minMax"/>
          <c:max val="103"/>
          <c:min val="6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6891375420177E-3"/>
              <c:y val="0.11655509052961807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2442752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8694513514758024"/>
          <c:y val="0.43278172195688647"/>
          <c:w val="0.18719506825187138"/>
          <c:h val="8.1804329114731122E-2"/>
        </c:manualLayout>
      </c:layout>
      <c:overlay val="1"/>
      <c:txPr>
        <a:bodyPr/>
        <a:lstStyle/>
        <a:p>
          <a:pPr>
            <a:defRPr sz="7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9703003263452749E-2"/>
          <c:y val="6.4748728891855969E-2"/>
          <c:w val="0.90853829773053596"/>
          <c:h val="0.47533921053206718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Диапазон!$E$187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1.8035138276904319E-3"/>
                  <c:y val="-2.9556070820443456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Диапазон!$C$188:$C$224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Диапазон!$E$188:$E$224</c:f>
              <c:numCache>
                <c:formatCode>0.0</c:formatCode>
                <c:ptCount val="37"/>
                <c:pt idx="0">
                  <c:v>88.2</c:v>
                </c:pt>
                <c:pt idx="1">
                  <c:v>88.2</c:v>
                </c:pt>
                <c:pt idx="2">
                  <c:v>88.2</c:v>
                </c:pt>
                <c:pt idx="3">
                  <c:v>88.2</c:v>
                </c:pt>
                <c:pt idx="4">
                  <c:v>88.2</c:v>
                </c:pt>
                <c:pt idx="5">
                  <c:v>88.2</c:v>
                </c:pt>
                <c:pt idx="6">
                  <c:v>88.2</c:v>
                </c:pt>
                <c:pt idx="7">
                  <c:v>88.2</c:v>
                </c:pt>
                <c:pt idx="8">
                  <c:v>88.2</c:v>
                </c:pt>
                <c:pt idx="9">
                  <c:v>88.2</c:v>
                </c:pt>
                <c:pt idx="10">
                  <c:v>88.2</c:v>
                </c:pt>
                <c:pt idx="11">
                  <c:v>88.2</c:v>
                </c:pt>
                <c:pt idx="12">
                  <c:v>88.2</c:v>
                </c:pt>
                <c:pt idx="13">
                  <c:v>88.2</c:v>
                </c:pt>
                <c:pt idx="14">
                  <c:v>88.2</c:v>
                </c:pt>
                <c:pt idx="15">
                  <c:v>88.2</c:v>
                </c:pt>
                <c:pt idx="16">
                  <c:v>88.2</c:v>
                </c:pt>
                <c:pt idx="17">
                  <c:v>88.2</c:v>
                </c:pt>
                <c:pt idx="18">
                  <c:v>88.2</c:v>
                </c:pt>
                <c:pt idx="19">
                  <c:v>88.2</c:v>
                </c:pt>
                <c:pt idx="20">
                  <c:v>88.2</c:v>
                </c:pt>
                <c:pt idx="21">
                  <c:v>88.2</c:v>
                </c:pt>
                <c:pt idx="22">
                  <c:v>88.2</c:v>
                </c:pt>
                <c:pt idx="23">
                  <c:v>88.2</c:v>
                </c:pt>
                <c:pt idx="24">
                  <c:v>88.2</c:v>
                </c:pt>
                <c:pt idx="25">
                  <c:v>88.2</c:v>
                </c:pt>
                <c:pt idx="26">
                  <c:v>88.2</c:v>
                </c:pt>
                <c:pt idx="27">
                  <c:v>88.2</c:v>
                </c:pt>
                <c:pt idx="28">
                  <c:v>88.2</c:v>
                </c:pt>
                <c:pt idx="29">
                  <c:v>88.2</c:v>
                </c:pt>
                <c:pt idx="30">
                  <c:v>88.2</c:v>
                </c:pt>
                <c:pt idx="31">
                  <c:v>88.2</c:v>
                </c:pt>
                <c:pt idx="32">
                  <c:v>88.2</c:v>
                </c:pt>
                <c:pt idx="33">
                  <c:v>88.2</c:v>
                </c:pt>
                <c:pt idx="34">
                  <c:v>88.2</c:v>
                </c:pt>
                <c:pt idx="35">
                  <c:v>88.2</c:v>
                </c:pt>
                <c:pt idx="36">
                  <c:v>88.2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1466808"/>
        <c:axId val="161465240"/>
      </c:lineChart>
      <c:scatterChart>
        <c:scatterStyle val="lineMarker"/>
        <c:varyColors val="0"/>
        <c:ser>
          <c:idx val="1"/>
          <c:order val="0"/>
          <c:tx>
            <c:strRef>
              <c:f>Диапазон!$D$187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5"/>
              </a:solidFill>
              <a:ln>
                <a:solidFill>
                  <a:schemeClr val="accent5"/>
                </a:solidFill>
              </a:ln>
            </c:spPr>
          </c:marker>
          <c:dLbls>
            <c:dLbl>
              <c:idx val="0"/>
              <c:layout>
                <c:manualLayout>
                  <c:x val="-3.1633173080767726E-2"/>
                  <c:y val="-3.912112235024369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383091149273449E-2"/>
                  <c:y val="1.578192252510760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811384935483396E-2"/>
                  <c:y val="-3.747499011525905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3848765972852803E-2"/>
                  <c:y val="3.181555371437765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657754753234555E-2"/>
                  <c:y val="3.221750006457368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700690712063725E-2"/>
                  <c:y val="-3.5536190073137151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9781532594179615E-2"/>
                  <c:y val="2.418890485017911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6862672541705563E-2"/>
                  <c:y val="2.6741452927770856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3025065847011023E-2"/>
                  <c:y val="-3.257056910278342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4672982260746167E-2"/>
                  <c:y val="2.457277056870540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6462559713043047E-2"/>
                  <c:y val="-3.065759853447541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5226824142135037E-2"/>
                  <c:y val="2.990258314606964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2783436577860136E-2"/>
                  <c:y val="1.98092195326454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2.8096227146198176E-2"/>
                  <c:y val="2.233256043600151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187453336406073E-2"/>
                  <c:y val="2.990258314606964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4.8443771414363991E-2"/>
                  <c:y val="-3.059719730340295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2.6258835640189975E-2"/>
                  <c:y val="-3.0314066532750778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2.9885491993308796E-2"/>
                  <c:y val="3.0798071134370861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-3.0192862860104884E-2"/>
                  <c:y val="3.0050605899849196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-3.302826459775339E-2"/>
                  <c:y val="2.8333144579486231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3.8394314365953079E-2"/>
                  <c:y val="-4.38846733863036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2.9942778711150763E-2"/>
                  <c:y val="2.929221281102164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2.6434330737740968E-2"/>
                  <c:y val="2.335202989860942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3.3465475665140229E-2"/>
                  <c:y val="-2.874462796616736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>
                <c:manualLayout>
                  <c:x val="-3.2139302686877924E-2"/>
                  <c:y val="2.6472826400106498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2.8572404813538278E-2"/>
                  <c:y val="-4.3541141384579006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6"/>
              <c:layout>
                <c:manualLayout>
                  <c:x val="-2.836608539065107E-2"/>
                  <c:y val="-2.711478816851148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7"/>
              <c:layout>
                <c:manualLayout>
                  <c:x val="-3.222959469647127E-2"/>
                  <c:y val="2.607664200945354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8"/>
              <c:layout>
                <c:manualLayout>
                  <c:x val="-3.2059188520556108E-2"/>
                  <c:y val="2.396240023365734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9"/>
              <c:layout>
                <c:manualLayout>
                  <c:x val="-3.1064813232941163E-2"/>
                  <c:y val="3.242592404942569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0"/>
              <c:layout>
                <c:manualLayout>
                  <c:x val="-2.87068977424818E-2"/>
                  <c:y val="1.98092195326454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1"/>
              <c:layout>
                <c:manualLayout>
                  <c:x val="-3.6931031299049163E-2"/>
                  <c:y val="-4.73126419379258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2"/>
              <c:layout>
                <c:manualLayout>
                  <c:x val="-2.4032650521214758E-2"/>
                  <c:y val="2.143905933030135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3"/>
              <c:layout>
                <c:manualLayout>
                  <c:x val="-2.4928446126858093E-2"/>
                  <c:y val="1.8294221549331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4"/>
              <c:layout>
                <c:manualLayout>
                  <c:x val="-4.0624134428953927E-2"/>
                  <c:y val="-4.4789301034569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5"/>
              <c:layout>
                <c:manualLayout>
                  <c:x val="-1.9202536900134275E-2"/>
                  <c:y val="-4.47893010345697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6"/>
              <c:layout>
                <c:manualLayout>
                  <c:x val="-1.354122171363589E-16"/>
                  <c:y val="2.5864244259399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xVal>
            <c:strRef>
              <c:f>Диапазон!$C$188:$C$224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Диапазон!$D$188:$D$224</c:f>
              <c:numCache>
                <c:formatCode>0</c:formatCode>
                <c:ptCount val="3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 formatCode="0.0">
                  <c:v>89.3</c:v>
                </c:pt>
                <c:pt idx="4" formatCode="0.0">
                  <c:v>89.3</c:v>
                </c:pt>
                <c:pt idx="5">
                  <c:v>100</c:v>
                </c:pt>
                <c:pt idx="6">
                  <c:v>80</c:v>
                </c:pt>
                <c:pt idx="7">
                  <c:v>70</c:v>
                </c:pt>
                <c:pt idx="8" formatCode="0.0">
                  <c:v>92.5</c:v>
                </c:pt>
                <c:pt idx="9">
                  <c:v>60</c:v>
                </c:pt>
                <c:pt idx="10" formatCode="0.0">
                  <c:v>92.5</c:v>
                </c:pt>
                <c:pt idx="11" formatCode="0.0">
                  <c:v>89.3</c:v>
                </c:pt>
                <c:pt idx="12" formatCode="0.0">
                  <c:v>73.5</c:v>
                </c:pt>
                <c:pt idx="13" formatCode="0.0">
                  <c:v>76.5</c:v>
                </c:pt>
                <c:pt idx="14" formatCode="0.0">
                  <c:v>89.3</c:v>
                </c:pt>
                <c:pt idx="15" formatCode="0.0">
                  <c:v>92.5</c:v>
                </c:pt>
                <c:pt idx="16" formatCode="0.0">
                  <c:v>92.5</c:v>
                </c:pt>
                <c:pt idx="17" formatCode="0.0">
                  <c:v>89.3</c:v>
                </c:pt>
                <c:pt idx="18" formatCode="0.0">
                  <c:v>78.599999999999994</c:v>
                </c:pt>
                <c:pt idx="19" formatCode="0.0">
                  <c:v>67.5</c:v>
                </c:pt>
                <c:pt idx="20">
                  <c:v>100</c:v>
                </c:pt>
                <c:pt idx="21">
                  <c:v>100</c:v>
                </c:pt>
                <c:pt idx="22">
                  <c:v>70</c:v>
                </c:pt>
                <c:pt idx="23" formatCode="0.0">
                  <c:v>89.3</c:v>
                </c:pt>
                <c:pt idx="24" formatCode="0.0">
                  <c:v>82.4</c:v>
                </c:pt>
                <c:pt idx="25">
                  <c:v>100</c:v>
                </c:pt>
                <c:pt idx="26" formatCode="0.0">
                  <c:v>92.5</c:v>
                </c:pt>
                <c:pt idx="27" formatCode="0.0">
                  <c:v>78.599999999999994</c:v>
                </c:pt>
                <c:pt idx="28">
                  <c:v>85</c:v>
                </c:pt>
                <c:pt idx="29" formatCode="0.0">
                  <c:v>72.5</c:v>
                </c:pt>
                <c:pt idx="30">
                  <c:v>85</c:v>
                </c:pt>
                <c:pt idx="31">
                  <c:v>100</c:v>
                </c:pt>
                <c:pt idx="32">
                  <c:v>100</c:v>
                </c:pt>
                <c:pt idx="33">
                  <c:v>85</c:v>
                </c:pt>
                <c:pt idx="34">
                  <c:v>100</c:v>
                </c:pt>
                <c:pt idx="35">
                  <c:v>100</c:v>
                </c:pt>
                <c:pt idx="36" formatCode="0.0">
                  <c:v>99.9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1466808"/>
        <c:axId val="161465240"/>
      </c:scatterChart>
      <c:catAx>
        <c:axId val="1614668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8489166727342697"/>
              <c:y val="0.95574425745801384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1465240"/>
        <c:crosses val="autoZero"/>
        <c:auto val="0"/>
        <c:lblAlgn val="ctr"/>
        <c:lblOffset val="100"/>
        <c:noMultiLvlLbl val="0"/>
      </c:catAx>
      <c:valAx>
        <c:axId val="161465240"/>
        <c:scaling>
          <c:orientation val="minMax"/>
          <c:max val="103"/>
          <c:min val="5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447644083729E-3"/>
              <c:y val="0.14121827693567071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1466808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8053259199861581"/>
          <c:y val="0.44529257839742026"/>
          <c:w val="0.18719506825187138"/>
          <c:h val="8.1804264662995618E-2"/>
        </c:manualLayout>
      </c:layout>
      <c:overlay val="1"/>
      <c:txPr>
        <a:bodyPr/>
        <a:lstStyle/>
        <a:p>
          <a:pPr>
            <a:defRPr sz="7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672698619639398E-2"/>
          <c:y val="2.0123890468322841E-2"/>
          <c:w val="0.90853829773053596"/>
          <c:h val="0.43244353182751538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Диапазон!$E$237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-2.3757326150168109E-2"/>
                  <c:y val="7.9231228758214034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>
                    <c:manualLayout>
                      <c:w val="0.2215643249799425"/>
                      <c:h val="3.7677118957747148E-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Диапазон!$C$238:$C$274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Диапазон!$E$238:$E$274</c:f>
              <c:numCache>
                <c:formatCode>0.0</c:formatCode>
                <c:ptCount val="3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  <c:pt idx="28">
                  <c:v>100</c:v>
                </c:pt>
                <c:pt idx="29">
                  <c:v>100</c:v>
                </c:pt>
                <c:pt idx="30">
                  <c:v>100</c:v>
                </c:pt>
                <c:pt idx="31">
                  <c:v>100</c:v>
                </c:pt>
                <c:pt idx="32">
                  <c:v>100</c:v>
                </c:pt>
                <c:pt idx="33">
                  <c:v>100</c:v>
                </c:pt>
                <c:pt idx="34">
                  <c:v>100</c:v>
                </c:pt>
                <c:pt idx="35">
                  <c:v>100</c:v>
                </c:pt>
                <c:pt idx="36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1466024"/>
        <c:axId val="161466416"/>
      </c:lineChart>
      <c:scatterChart>
        <c:scatterStyle val="lineMarker"/>
        <c:varyColors val="0"/>
        <c:ser>
          <c:idx val="1"/>
          <c:order val="0"/>
          <c:tx>
            <c:strRef>
              <c:f>Диапазон!$D$237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6"/>
              </a:solidFill>
              <a:ln>
                <a:solidFill>
                  <a:schemeClr val="accent6"/>
                </a:solidFill>
              </a:ln>
            </c:spPr>
          </c:marker>
          <c:dLbls>
            <c:dLbl>
              <c:idx val="1"/>
              <c:layout>
                <c:manualLayout>
                  <c:x val="-3.0203428977525097E-2"/>
                  <c:y val="1.8986513028676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8426756684729503E-2"/>
                  <c:y val="2.1605342411941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0203428977525097E-2"/>
                  <c:y val="2.1605342411941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980101270320686E-2"/>
                  <c:y val="2.1605342411941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8426756684729503E-2"/>
                  <c:y val="2.1605342411941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0203428977525159E-2"/>
                  <c:y val="2.1605342411941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2.8426756684729503E-2"/>
                  <c:y val="2.1605342411941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2.8426756684729503E-2"/>
                  <c:y val="1.898651302867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3.0203428977525097E-2"/>
                  <c:y val="1.898651302867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-3.0203428977525159E-2"/>
                  <c:y val="1.898651302867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3.0203428977525097E-2"/>
                  <c:y val="1.898651302867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3.0203428977525097E-2"/>
                  <c:y val="1.898651302867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3.0203428977525097E-2"/>
                  <c:y val="1.6367683645410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7"/>
              <c:layout>
                <c:manualLayout>
                  <c:x val="-2.8426756684729503E-2"/>
                  <c:y val="1.898651302867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9"/>
              <c:layout>
                <c:manualLayout>
                  <c:x val="-2.4873412099138313E-2"/>
                  <c:y val="2.1605342411941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1"/>
              <c:layout>
                <c:manualLayout>
                  <c:x val="-2.6650084391933906E-2"/>
                  <c:y val="2.4224171795207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3"/>
              <c:layout>
                <c:manualLayout>
                  <c:x val="-2.8426756684729632E-2"/>
                  <c:y val="1.898651302867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5"/>
              <c:layout>
                <c:manualLayout>
                  <c:x val="-2.8426756684729503E-2"/>
                  <c:y val="1.89865130286761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Диапазон!$C$238:$C$274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Диапазон!$D$238:$D$274</c:f>
              <c:numCache>
                <c:formatCode>0</c:formatCode>
                <c:ptCount val="3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  <c:pt idx="28">
                  <c:v>100</c:v>
                </c:pt>
                <c:pt idx="29">
                  <c:v>100</c:v>
                </c:pt>
                <c:pt idx="30">
                  <c:v>100</c:v>
                </c:pt>
                <c:pt idx="31">
                  <c:v>100</c:v>
                </c:pt>
                <c:pt idx="32">
                  <c:v>100</c:v>
                </c:pt>
                <c:pt idx="33">
                  <c:v>100</c:v>
                </c:pt>
                <c:pt idx="34">
                  <c:v>100</c:v>
                </c:pt>
                <c:pt idx="35">
                  <c:v>100</c:v>
                </c:pt>
                <c:pt idx="36">
                  <c:v>100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1466024"/>
        <c:axId val="161466416"/>
      </c:scatterChart>
      <c:catAx>
        <c:axId val="16146602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6004103133728164"/>
              <c:y val="0.9326975081660025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1466416"/>
        <c:crosses val="autoZero"/>
        <c:auto val="0"/>
        <c:lblAlgn val="ctr"/>
        <c:lblOffset val="0"/>
        <c:noMultiLvlLbl val="0"/>
      </c:catAx>
      <c:valAx>
        <c:axId val="161466416"/>
        <c:scaling>
          <c:orientation val="minMax"/>
          <c:max val="103"/>
          <c:min val="3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66205314768E-3"/>
              <c:y val="9.1720844340711469E-2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1466024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11237076131305251"/>
          <c:y val="0.24104675536247624"/>
          <c:w val="0.18719506825187149"/>
          <c:h val="8.1804336101822916E-2"/>
        </c:manualLayout>
      </c:layout>
      <c:overlay val="1"/>
      <c:txPr>
        <a:bodyPr/>
        <a:lstStyle/>
        <a:p>
          <a:pPr>
            <a:defRPr sz="7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815701521912685E-2"/>
          <c:y val="3.6985596707818931E-2"/>
          <c:w val="0.90853829773053596"/>
          <c:h val="0.46410052331421536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Диапазон!$E$286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-4.3912136590705739E-2"/>
                  <c:y val="-1.657342378032638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Диапазон!$C$287:$C$320</c:f>
              <c:strCache>
                <c:ptCount val="34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Депгосслужбы</c:v>
                </c:pt>
                <c:pt idx="32">
                  <c:v>Аппарат Губернатора Югры</c:v>
                </c:pt>
                <c:pt idx="33">
                  <c:v>Деппромышленности Югры</c:v>
                </c:pt>
              </c:strCache>
            </c:strRef>
          </c:cat>
          <c:val>
            <c:numRef>
              <c:f>Диапазон!$E$287:$E$320</c:f>
              <c:numCache>
                <c:formatCode>0.0</c:formatCode>
                <c:ptCount val="34"/>
                <c:pt idx="0">
                  <c:v>52.9</c:v>
                </c:pt>
                <c:pt idx="1">
                  <c:v>52.9</c:v>
                </c:pt>
                <c:pt idx="2">
                  <c:v>52.9</c:v>
                </c:pt>
                <c:pt idx="3">
                  <c:v>52.9</c:v>
                </c:pt>
                <c:pt idx="4">
                  <c:v>52.9</c:v>
                </c:pt>
                <c:pt idx="5">
                  <c:v>52.9</c:v>
                </c:pt>
                <c:pt idx="6">
                  <c:v>52.9</c:v>
                </c:pt>
                <c:pt idx="7">
                  <c:v>52.9</c:v>
                </c:pt>
                <c:pt idx="8">
                  <c:v>52.9</c:v>
                </c:pt>
                <c:pt idx="9">
                  <c:v>52.9</c:v>
                </c:pt>
                <c:pt idx="10">
                  <c:v>52.9</c:v>
                </c:pt>
                <c:pt idx="11">
                  <c:v>52.9</c:v>
                </c:pt>
                <c:pt idx="12">
                  <c:v>52.9</c:v>
                </c:pt>
                <c:pt idx="13">
                  <c:v>52.9</c:v>
                </c:pt>
                <c:pt idx="14">
                  <c:v>52.9</c:v>
                </c:pt>
                <c:pt idx="15">
                  <c:v>52.9</c:v>
                </c:pt>
                <c:pt idx="16">
                  <c:v>52.9</c:v>
                </c:pt>
                <c:pt idx="17">
                  <c:v>52.9</c:v>
                </c:pt>
                <c:pt idx="18">
                  <c:v>52.9</c:v>
                </c:pt>
                <c:pt idx="19">
                  <c:v>52.9</c:v>
                </c:pt>
                <c:pt idx="20">
                  <c:v>52.9</c:v>
                </c:pt>
                <c:pt idx="21">
                  <c:v>52.9</c:v>
                </c:pt>
                <c:pt idx="22">
                  <c:v>52.9</c:v>
                </c:pt>
                <c:pt idx="23">
                  <c:v>52.9</c:v>
                </c:pt>
                <c:pt idx="24">
                  <c:v>52.9</c:v>
                </c:pt>
                <c:pt idx="25">
                  <c:v>52.9</c:v>
                </c:pt>
                <c:pt idx="26">
                  <c:v>52.9</c:v>
                </c:pt>
                <c:pt idx="27">
                  <c:v>52.9</c:v>
                </c:pt>
                <c:pt idx="28">
                  <c:v>52.9</c:v>
                </c:pt>
                <c:pt idx="29">
                  <c:v>52.9</c:v>
                </c:pt>
                <c:pt idx="30">
                  <c:v>52.9</c:v>
                </c:pt>
                <c:pt idx="31">
                  <c:v>52.9</c:v>
                </c:pt>
                <c:pt idx="32">
                  <c:v>52.9</c:v>
                </c:pt>
                <c:pt idx="33">
                  <c:v>52.9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1467200"/>
        <c:axId val="161464064"/>
      </c:lineChart>
      <c:scatterChart>
        <c:scatterStyle val="lineMarker"/>
        <c:varyColors val="0"/>
        <c:ser>
          <c:idx val="1"/>
          <c:order val="0"/>
          <c:tx>
            <c:strRef>
              <c:f>Диапазон!$D$286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dLbls>
            <c:dLbl>
              <c:idx val="1"/>
              <c:layout>
                <c:manualLayout>
                  <c:x val="-2.5211597334773996E-2"/>
                  <c:y val="2.3186222283733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5211597334773996E-2"/>
                  <c:y val="2.0826897050750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Диапазон!$C$287:$C$320</c:f>
              <c:strCache>
                <c:ptCount val="34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Депгосслужбы</c:v>
                </c:pt>
                <c:pt idx="32">
                  <c:v>Аппарат Губернатора Югры</c:v>
                </c:pt>
                <c:pt idx="33">
                  <c:v>Деппромышленности Югры</c:v>
                </c:pt>
              </c:strCache>
            </c:strRef>
          </c:xVal>
          <c:yVal>
            <c:numRef>
              <c:f>Диапазон!$D$287:$D$320</c:f>
              <c:numCache>
                <c:formatCode>0</c:formatCode>
                <c:ptCount val="34"/>
                <c:pt idx="0">
                  <c:v>0</c:v>
                </c:pt>
                <c:pt idx="1">
                  <c:v>50</c:v>
                </c:pt>
                <c:pt idx="2">
                  <c:v>100</c:v>
                </c:pt>
                <c:pt idx="3">
                  <c:v>0</c:v>
                </c:pt>
                <c:pt idx="4">
                  <c:v>0</c:v>
                </c:pt>
                <c:pt idx="5">
                  <c:v>100</c:v>
                </c:pt>
                <c:pt idx="6">
                  <c:v>100</c:v>
                </c:pt>
                <c:pt idx="7">
                  <c:v>50</c:v>
                </c:pt>
                <c:pt idx="8">
                  <c:v>0</c:v>
                </c:pt>
                <c:pt idx="9">
                  <c:v>100</c:v>
                </c:pt>
                <c:pt idx="10">
                  <c:v>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0</c:v>
                </c:pt>
                <c:pt idx="22">
                  <c:v>0</c:v>
                </c:pt>
                <c:pt idx="23">
                  <c:v>0</c:v>
                </c:pt>
                <c:pt idx="24">
                  <c:v>0</c:v>
                </c:pt>
                <c:pt idx="25">
                  <c:v>100</c:v>
                </c:pt>
                <c:pt idx="26">
                  <c:v>0</c:v>
                </c:pt>
                <c:pt idx="27">
                  <c:v>0</c:v>
                </c:pt>
                <c:pt idx="28">
                  <c:v>100</c:v>
                </c:pt>
                <c:pt idx="29">
                  <c:v>0</c:v>
                </c:pt>
                <c:pt idx="30">
                  <c:v>0</c:v>
                </c:pt>
                <c:pt idx="31">
                  <c:v>0</c:v>
                </c:pt>
                <c:pt idx="32">
                  <c:v>100</c:v>
                </c:pt>
                <c:pt idx="33">
                  <c:v>100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1467200"/>
        <c:axId val="161464064"/>
      </c:scatterChart>
      <c:catAx>
        <c:axId val="1614672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9768501384652697"/>
              <c:y val="0.95265116189221066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1464064"/>
        <c:crosses val="autoZero"/>
        <c:auto val="0"/>
        <c:lblAlgn val="ctr"/>
        <c:lblOffset val="100"/>
        <c:noMultiLvlLbl val="0"/>
      </c:catAx>
      <c:valAx>
        <c:axId val="161464064"/>
        <c:scaling>
          <c:orientation val="minMax"/>
          <c:max val="105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48142098121E-3"/>
              <c:y val="7.7939340995214629E-2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61467200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82448332532177404"/>
          <c:y val="0.36215783410820818"/>
          <c:w val="0.16134741666205821"/>
          <c:h val="0.10115304435704002"/>
        </c:manualLayout>
      </c:layout>
      <c:overlay val="1"/>
      <c:txPr>
        <a:bodyPr/>
        <a:lstStyle/>
        <a:p>
          <a:pPr>
            <a:defRPr sz="71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93960-BE1D-44C0-A03D-0B6F715E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23</Pages>
  <Words>5520</Words>
  <Characters>31469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Смирных Елена Валентиновна</dc:creator>
  <cp:lastModifiedBy>Середкина Оксана Геннадьевна</cp:lastModifiedBy>
  <cp:revision>5</cp:revision>
  <cp:lastPrinted>2021-05-19T11:58:00Z</cp:lastPrinted>
  <dcterms:created xsi:type="dcterms:W3CDTF">2021-05-04T07:12:00Z</dcterms:created>
  <dcterms:modified xsi:type="dcterms:W3CDTF">2021-05-19T13:03:00Z</dcterms:modified>
</cp:coreProperties>
</file>